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387213">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191C8109" w:rsidR="00C25957" w:rsidRPr="00900CB3" w:rsidRDefault="00301C9D" w:rsidP="00C25957">
            <w:pPr>
              <w:jc w:val="center"/>
              <w:rPr>
                <w:rFonts w:ascii="Arial" w:eastAsia="Arial" w:hAnsi="Arial" w:cs="Arial"/>
                <w:b/>
                <w:color w:val="FFFFFF"/>
                <w:sz w:val="28"/>
                <w:u w:val="single"/>
              </w:rPr>
            </w:pPr>
            <w:r w:rsidRPr="00387213">
              <w:rPr>
                <w:rFonts w:ascii="Arial" w:eastAsia="Arial" w:hAnsi="Arial" w:cs="Arial"/>
                <w:b/>
                <w:sz w:val="28"/>
                <w:u w:val="single"/>
              </w:rPr>
              <w:t>REGLEMENT DE CONSULTATION</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387213">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387213" w:rsidRDefault="00C25957" w:rsidP="00BB37A9">
            <w:pPr>
              <w:jc w:val="center"/>
              <w:rPr>
                <w:rFonts w:ascii="Arial" w:eastAsia="Arial" w:hAnsi="Arial" w:cs="Arial"/>
                <w:b/>
                <w:sz w:val="32"/>
                <w:szCs w:val="32"/>
              </w:rPr>
            </w:pPr>
          </w:p>
          <w:p w14:paraId="733F72E5" w14:textId="77777777" w:rsidR="00301C9D" w:rsidRPr="00387213" w:rsidRDefault="00C25957" w:rsidP="00301C9D">
            <w:pPr>
              <w:jc w:val="center"/>
              <w:rPr>
                <w:rFonts w:ascii="Arial" w:eastAsia="Arial" w:hAnsi="Arial" w:cs="Arial"/>
                <w:b/>
                <w:sz w:val="32"/>
                <w:szCs w:val="32"/>
              </w:rPr>
            </w:pPr>
            <w:r w:rsidRPr="00387213">
              <w:rPr>
                <w:rFonts w:ascii="Arial" w:eastAsia="Arial" w:hAnsi="Arial" w:cs="Arial"/>
                <w:b/>
                <w:sz w:val="32"/>
                <w:szCs w:val="32"/>
              </w:rPr>
              <w:t xml:space="preserve">Marché </w:t>
            </w:r>
            <w:r w:rsidR="00301C9D" w:rsidRPr="00387213">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proofErr w:type="gramStart"/>
            <w:r w:rsidRPr="00387213">
              <w:rPr>
                <w:rFonts w:ascii="Arial" w:eastAsia="Arial" w:hAnsi="Arial" w:cs="Arial"/>
                <w:b/>
                <w:sz w:val="32"/>
                <w:szCs w:val="32"/>
              </w:rPr>
              <w:t>de</w:t>
            </w:r>
            <w:proofErr w:type="gramEnd"/>
            <w:r w:rsidRPr="00387213">
              <w:rPr>
                <w:rFonts w:ascii="Arial" w:eastAsia="Arial" w:hAnsi="Arial" w:cs="Arial"/>
                <w:b/>
                <w:sz w:val="32"/>
                <w:szCs w:val="32"/>
              </w:rPr>
              <w:t xml:space="preserve"> véhicules de transport en commun</w:t>
            </w:r>
          </w:p>
          <w:p w14:paraId="45970A60" w14:textId="08641595" w:rsidR="00DD0FD7" w:rsidRPr="00387213" w:rsidRDefault="00DD0FD7" w:rsidP="00301C9D">
            <w:pPr>
              <w:jc w:val="center"/>
              <w:rPr>
                <w:rFonts w:ascii="Arial" w:eastAsia="Arial" w:hAnsi="Arial" w:cs="Arial"/>
                <w:b/>
                <w:sz w:val="32"/>
                <w:szCs w:val="32"/>
              </w:rPr>
            </w:pPr>
            <w:proofErr w:type="gramStart"/>
            <w:r>
              <w:rPr>
                <w:rFonts w:ascii="Arial" w:eastAsia="Arial" w:hAnsi="Arial" w:cs="Arial"/>
                <w:b/>
                <w:sz w:val="32"/>
                <w:szCs w:val="32"/>
              </w:rPr>
              <w:t>de</w:t>
            </w:r>
            <w:proofErr w:type="gramEnd"/>
            <w:r>
              <w:rPr>
                <w:rFonts w:ascii="Arial" w:eastAsia="Arial" w:hAnsi="Arial" w:cs="Arial"/>
                <w:b/>
                <w:sz w:val="32"/>
                <w:szCs w:val="32"/>
              </w:rPr>
              <w:t xml:space="preserve"> faible capacité</w:t>
            </w:r>
          </w:p>
          <w:p w14:paraId="63993E3E" w14:textId="77777777" w:rsidR="00C25957" w:rsidRPr="00387213"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5244B346" w14:textId="6CB272FD" w:rsidR="00C25957" w:rsidRPr="00E564C0" w:rsidRDefault="00C25957" w:rsidP="00C25957">
      <w:pPr>
        <w:jc w:val="center"/>
        <w:rPr>
          <w:rFonts w:ascii="Arial" w:hAnsi="Arial" w:cs="Arial"/>
          <w:b/>
          <w:sz w:val="40"/>
          <w:szCs w:val="40"/>
        </w:rPr>
      </w:pPr>
      <w:r w:rsidRPr="00E564C0">
        <w:rPr>
          <w:rFonts w:ascii="Arial" w:hAnsi="Arial" w:cs="Arial"/>
          <w:b/>
          <w:sz w:val="40"/>
          <w:szCs w:val="40"/>
        </w:rPr>
        <w:t>Date</w:t>
      </w:r>
      <w:r>
        <w:rPr>
          <w:rFonts w:ascii="Arial" w:hAnsi="Arial" w:cs="Arial"/>
          <w:b/>
          <w:sz w:val="40"/>
          <w:szCs w:val="40"/>
        </w:rPr>
        <w:t>s</w:t>
      </w:r>
      <w:r w:rsidRPr="00E564C0">
        <w:rPr>
          <w:rFonts w:ascii="Arial" w:hAnsi="Arial" w:cs="Arial"/>
          <w:b/>
          <w:sz w:val="40"/>
          <w:szCs w:val="40"/>
        </w:rPr>
        <w:t xml:space="preserve"> et heure</w:t>
      </w:r>
      <w:r>
        <w:rPr>
          <w:rFonts w:ascii="Arial" w:hAnsi="Arial" w:cs="Arial"/>
          <w:b/>
          <w:sz w:val="40"/>
          <w:szCs w:val="40"/>
        </w:rPr>
        <w:t>s</w:t>
      </w:r>
      <w:r w:rsidRPr="00E564C0">
        <w:rPr>
          <w:rFonts w:ascii="Arial" w:hAnsi="Arial" w:cs="Arial"/>
          <w:b/>
          <w:sz w:val="40"/>
          <w:szCs w:val="40"/>
        </w:rPr>
        <w:t xml:space="preserve"> limites de réception des offres</w:t>
      </w:r>
    </w:p>
    <w:p w14:paraId="309E6DEE" w14:textId="10F50888" w:rsidR="00C25957" w:rsidRPr="00E564C0" w:rsidRDefault="0066635B" w:rsidP="00C25957">
      <w:pPr>
        <w:jc w:val="center"/>
        <w:rPr>
          <w:rFonts w:ascii="Arial" w:hAnsi="Arial" w:cs="Arial"/>
          <w:b/>
          <w:color w:val="0070C0"/>
          <w:sz w:val="40"/>
          <w:szCs w:val="40"/>
        </w:rPr>
      </w:pPr>
      <w:r>
        <w:rPr>
          <w:rFonts w:ascii="Arial" w:hAnsi="Arial" w:cs="Arial"/>
          <w:b/>
          <w:i/>
          <w:iCs/>
          <w:color w:val="0070C0"/>
          <w:sz w:val="40"/>
          <w:szCs w:val="40"/>
          <w:u w:val="single"/>
        </w:rPr>
        <w:t>Vendredi 17</w:t>
      </w:r>
      <w:r w:rsidR="003B4FDA">
        <w:rPr>
          <w:rFonts w:ascii="Arial" w:hAnsi="Arial" w:cs="Arial"/>
          <w:b/>
          <w:i/>
          <w:iCs/>
          <w:color w:val="0070C0"/>
          <w:sz w:val="40"/>
          <w:szCs w:val="40"/>
          <w:u w:val="single"/>
        </w:rPr>
        <w:t xml:space="preserve"> avril 2026 à 12h00</w:t>
      </w:r>
    </w:p>
    <w:p w14:paraId="0DB36705" w14:textId="77777777" w:rsidR="0066635B" w:rsidRDefault="0066635B" w:rsidP="00C25957">
      <w:pPr>
        <w:jc w:val="center"/>
        <w:rPr>
          <w:rFonts w:ascii="Arial" w:hAnsi="Arial" w:cs="Arial"/>
          <w:b/>
          <w:color w:val="EE0000"/>
          <w:sz w:val="40"/>
          <w:szCs w:val="40"/>
        </w:rPr>
      </w:pPr>
    </w:p>
    <w:p w14:paraId="23177554" w14:textId="719C2138"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2C4DCAD8"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5C4A55">
        <w:rPr>
          <w:rFonts w:ascii="Arial" w:hAnsi="Arial" w:cs="Arial"/>
          <w:b/>
          <w:szCs w:val="22"/>
        </w:rPr>
        <w:t>1</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7260B9C4" w14:textId="77777777" w:rsidR="00C25957" w:rsidRPr="002A7CDD" w:rsidRDefault="00C25957" w:rsidP="00C25957">
      <w:pPr>
        <w:ind w:left="284"/>
        <w:jc w:val="both"/>
        <w:rPr>
          <w:rFonts w:ascii="Arial" w:hAnsi="Arial" w:cs="Arial"/>
          <w:b/>
          <w:bCs/>
          <w:szCs w:val="22"/>
          <w:u w:val="single"/>
        </w:rPr>
      </w:pPr>
    </w:p>
    <w:p w14:paraId="111F7D20" w14:textId="77777777" w:rsidR="0066635B" w:rsidRDefault="0066635B" w:rsidP="00301C9D">
      <w:pPr>
        <w:rPr>
          <w:rFonts w:ascii="Arial" w:hAnsi="Arial" w:cs="Arial"/>
          <w:iCs/>
          <w:sz w:val="24"/>
          <w:szCs w:val="24"/>
          <w:u w:val="single"/>
        </w:rPr>
      </w:pPr>
    </w:p>
    <w:p w14:paraId="4D07C10E" w14:textId="23550EA4"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1 : Objet et étendue de la consultation</w:t>
      </w:r>
    </w:p>
    <w:p w14:paraId="3D860F7A" w14:textId="77777777" w:rsidR="00301C9D" w:rsidRPr="00301C9D" w:rsidRDefault="00301C9D" w:rsidP="00301C9D">
      <w:pPr>
        <w:rPr>
          <w:rFonts w:ascii="Arial" w:hAnsi="Arial" w:cs="Arial"/>
          <w:i/>
          <w:iCs/>
          <w:sz w:val="24"/>
          <w:szCs w:val="24"/>
        </w:rPr>
      </w:pPr>
    </w:p>
    <w:p w14:paraId="5B0C898B"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1.1 – Objet</w:t>
      </w:r>
    </w:p>
    <w:p w14:paraId="0B058B9E" w14:textId="0F333C3D"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La présente consultation concerne la fourniture de véhicules de transport en commun </w:t>
      </w:r>
      <w:r w:rsidR="00F90D3E">
        <w:rPr>
          <w:rFonts w:ascii="Arial" w:hAnsi="Arial" w:cs="Arial"/>
          <w:iCs/>
          <w:sz w:val="24"/>
          <w:szCs w:val="24"/>
        </w:rPr>
        <w:t>de type</w:t>
      </w:r>
      <w:r w:rsidR="003607BF">
        <w:rPr>
          <w:rFonts w:ascii="Arial" w:hAnsi="Arial" w:cs="Arial"/>
          <w:iCs/>
          <w:sz w:val="24"/>
          <w:szCs w:val="24"/>
        </w:rPr>
        <w:t xml:space="preserve"> 9 et </w:t>
      </w:r>
      <w:r w:rsidR="00F90D3E">
        <w:rPr>
          <w:rFonts w:ascii="Arial" w:hAnsi="Arial" w:cs="Arial"/>
          <w:iCs/>
          <w:sz w:val="24"/>
          <w:szCs w:val="24"/>
        </w:rPr>
        <w:t xml:space="preserve">22 places </w:t>
      </w:r>
      <w:r w:rsidRPr="00301C9D">
        <w:rPr>
          <w:rFonts w:ascii="Arial" w:hAnsi="Arial" w:cs="Arial"/>
          <w:iCs/>
          <w:sz w:val="24"/>
          <w:szCs w:val="24"/>
        </w:rPr>
        <w:t>destinés au renouvellement du parc de MBFC.</w:t>
      </w:r>
    </w:p>
    <w:p w14:paraId="6EC9D203" w14:textId="77777777" w:rsidR="00301C9D" w:rsidRPr="00301C9D" w:rsidRDefault="00301C9D" w:rsidP="00CE482C">
      <w:pPr>
        <w:jc w:val="both"/>
        <w:rPr>
          <w:rFonts w:ascii="Arial" w:hAnsi="Arial" w:cs="Arial"/>
          <w:i/>
          <w:iCs/>
          <w:sz w:val="24"/>
          <w:szCs w:val="24"/>
        </w:rPr>
      </w:pPr>
    </w:p>
    <w:p w14:paraId="4F8A9DF9"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1.2 – Lieu d’exécution</w:t>
      </w:r>
    </w:p>
    <w:p w14:paraId="13DB2E0E"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La livraison est à effectuer au siège de MBFC, 1 rue Pierre Vernier 25220 THISE.</w:t>
      </w:r>
    </w:p>
    <w:p w14:paraId="5A828555" w14:textId="77777777" w:rsidR="00301C9D" w:rsidRPr="00301C9D" w:rsidRDefault="00301C9D" w:rsidP="00CE482C">
      <w:pPr>
        <w:jc w:val="both"/>
        <w:rPr>
          <w:rFonts w:ascii="Arial" w:hAnsi="Arial" w:cs="Arial"/>
          <w:i/>
          <w:iCs/>
          <w:sz w:val="24"/>
          <w:szCs w:val="24"/>
        </w:rPr>
      </w:pPr>
      <w:bookmarkStart w:id="7" w:name="_Toc264368834"/>
      <w:bookmarkStart w:id="8" w:name="_Toc485636589"/>
    </w:p>
    <w:p w14:paraId="5C41FB33"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1.3 – </w:t>
      </w:r>
      <w:bookmarkEnd w:id="7"/>
      <w:bookmarkEnd w:id="8"/>
      <w:r w:rsidRPr="00301C9D">
        <w:rPr>
          <w:rFonts w:ascii="Arial" w:hAnsi="Arial" w:cs="Arial"/>
          <w:iCs/>
          <w:sz w:val="24"/>
          <w:szCs w:val="24"/>
        </w:rPr>
        <w:t>Mode de passation</w:t>
      </w:r>
    </w:p>
    <w:p w14:paraId="6A4EADE3"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La procédure de passation utilisée est l </w:t>
      </w:r>
      <w:bookmarkStart w:id="9" w:name="_Toc485636590"/>
      <w:bookmarkStart w:id="10" w:name="_Toc264368835"/>
      <w:r w:rsidRPr="00301C9D">
        <w:rPr>
          <w:rFonts w:ascii="Arial" w:hAnsi="Arial" w:cs="Arial"/>
          <w:iCs/>
          <w:sz w:val="24"/>
          <w:szCs w:val="24"/>
        </w:rPr>
        <w:t>‘appel d’offres ouvert conformément aux articles L2124-2 et R2124-2 1</w:t>
      </w:r>
      <w:r w:rsidRPr="00301C9D">
        <w:rPr>
          <w:rFonts w:ascii="Arial" w:hAnsi="Arial" w:cs="Arial"/>
          <w:iCs/>
          <w:sz w:val="24"/>
          <w:szCs w:val="24"/>
          <w:vertAlign w:val="superscript"/>
        </w:rPr>
        <w:t xml:space="preserve">er </w:t>
      </w:r>
      <w:r w:rsidRPr="00301C9D">
        <w:rPr>
          <w:rFonts w:ascii="Arial" w:hAnsi="Arial" w:cs="Arial"/>
          <w:iCs/>
          <w:sz w:val="24"/>
          <w:szCs w:val="24"/>
        </w:rPr>
        <w:t>du Code de la Commande Publique.</w:t>
      </w:r>
    </w:p>
    <w:p w14:paraId="6771DFEA" w14:textId="77777777" w:rsidR="00301C9D" w:rsidRPr="00301C9D" w:rsidRDefault="00301C9D" w:rsidP="00CE482C">
      <w:pPr>
        <w:jc w:val="both"/>
        <w:rPr>
          <w:rFonts w:ascii="Arial" w:hAnsi="Arial" w:cs="Arial"/>
          <w:iCs/>
          <w:sz w:val="24"/>
          <w:szCs w:val="24"/>
        </w:rPr>
      </w:pPr>
    </w:p>
    <w:p w14:paraId="16A7F6EA"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1.4 – Type de marché</w:t>
      </w:r>
    </w:p>
    <w:p w14:paraId="44B83FDB" w14:textId="35FF29A1" w:rsidR="00301C9D" w:rsidRDefault="00301C9D" w:rsidP="00CE482C">
      <w:pPr>
        <w:jc w:val="both"/>
        <w:rPr>
          <w:rFonts w:ascii="Arial" w:hAnsi="Arial" w:cs="Arial"/>
          <w:iCs/>
          <w:sz w:val="24"/>
          <w:szCs w:val="24"/>
        </w:rPr>
      </w:pPr>
      <w:r w:rsidRPr="00301C9D">
        <w:rPr>
          <w:rFonts w:ascii="Arial" w:hAnsi="Arial" w:cs="Arial"/>
          <w:iCs/>
          <w:sz w:val="24"/>
          <w:szCs w:val="24"/>
        </w:rPr>
        <w:t xml:space="preserve">C’est un </w:t>
      </w:r>
      <w:r w:rsidR="00CE482C">
        <w:rPr>
          <w:rFonts w:ascii="Arial" w:hAnsi="Arial" w:cs="Arial"/>
          <w:iCs/>
          <w:sz w:val="24"/>
          <w:szCs w:val="24"/>
        </w:rPr>
        <w:t>marché</w:t>
      </w:r>
      <w:r w:rsidRPr="00301C9D">
        <w:rPr>
          <w:rFonts w:ascii="Arial" w:hAnsi="Arial" w:cs="Arial"/>
          <w:iCs/>
          <w:sz w:val="24"/>
          <w:szCs w:val="24"/>
        </w:rPr>
        <w:t xml:space="preserve"> mono-attributaire avec émission de bons de commande dont le minimum et maximum </w:t>
      </w:r>
      <w:r w:rsidR="00F90D3E">
        <w:rPr>
          <w:rFonts w:ascii="Arial" w:hAnsi="Arial" w:cs="Arial"/>
          <w:iCs/>
          <w:sz w:val="24"/>
          <w:szCs w:val="24"/>
        </w:rPr>
        <w:t>est</w:t>
      </w:r>
      <w:r w:rsidRPr="00301C9D">
        <w:rPr>
          <w:rFonts w:ascii="Arial" w:hAnsi="Arial" w:cs="Arial"/>
          <w:iCs/>
          <w:sz w:val="24"/>
          <w:szCs w:val="24"/>
        </w:rPr>
        <w:t xml:space="preserve"> fixé à l’article 1-7.</w:t>
      </w:r>
    </w:p>
    <w:p w14:paraId="4B232AFB" w14:textId="77777777" w:rsidR="00CE482C" w:rsidRPr="00301C9D" w:rsidRDefault="00CE482C" w:rsidP="00CE482C">
      <w:pPr>
        <w:jc w:val="both"/>
        <w:rPr>
          <w:rFonts w:ascii="Arial" w:hAnsi="Arial" w:cs="Arial"/>
          <w:iCs/>
          <w:sz w:val="24"/>
          <w:szCs w:val="24"/>
        </w:rPr>
      </w:pPr>
    </w:p>
    <w:p w14:paraId="6B768E05"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1.5 – Durée</w:t>
      </w:r>
    </w:p>
    <w:p w14:paraId="3E335160" w14:textId="2FE0B1B5" w:rsidR="00301C9D" w:rsidRPr="00301C9D" w:rsidRDefault="00301C9D" w:rsidP="00CE482C">
      <w:pPr>
        <w:jc w:val="both"/>
        <w:rPr>
          <w:rFonts w:ascii="Arial" w:hAnsi="Arial" w:cs="Arial"/>
          <w:iCs/>
          <w:sz w:val="24"/>
          <w:szCs w:val="24"/>
        </w:rPr>
      </w:pPr>
      <w:r w:rsidRPr="00301C9D">
        <w:rPr>
          <w:rFonts w:ascii="Arial" w:hAnsi="Arial" w:cs="Arial"/>
          <w:iCs/>
          <w:sz w:val="24"/>
          <w:szCs w:val="24"/>
        </w:rPr>
        <w:t>Ce marché est prévu pour une mise en œuvre dès notification aux candidats retenus et jusqu’au 3</w:t>
      </w:r>
      <w:r w:rsidR="003607BF">
        <w:rPr>
          <w:rFonts w:ascii="Arial" w:hAnsi="Arial" w:cs="Arial"/>
          <w:iCs/>
          <w:sz w:val="24"/>
          <w:szCs w:val="24"/>
        </w:rPr>
        <w:t>1</w:t>
      </w:r>
      <w:r w:rsidRPr="00301C9D">
        <w:rPr>
          <w:rFonts w:ascii="Arial" w:hAnsi="Arial" w:cs="Arial"/>
          <w:iCs/>
          <w:sz w:val="24"/>
          <w:szCs w:val="24"/>
        </w:rPr>
        <w:t xml:space="preserve"> </w:t>
      </w:r>
      <w:r w:rsidR="003607BF">
        <w:rPr>
          <w:rFonts w:ascii="Arial" w:hAnsi="Arial" w:cs="Arial"/>
          <w:iCs/>
          <w:sz w:val="24"/>
          <w:szCs w:val="24"/>
        </w:rPr>
        <w:t>décembre 2027</w:t>
      </w:r>
      <w:r w:rsidRPr="00301C9D">
        <w:rPr>
          <w:rFonts w:ascii="Arial" w:hAnsi="Arial" w:cs="Arial"/>
          <w:iCs/>
          <w:sz w:val="24"/>
          <w:szCs w:val="24"/>
        </w:rPr>
        <w:t>, tranche ferme.</w:t>
      </w:r>
      <w:r w:rsidR="00DD0FD7" w:rsidRPr="00DD0FD7">
        <w:rPr>
          <w:rFonts w:ascii="Arial" w:hAnsi="Arial" w:cs="Arial"/>
          <w:sz w:val="22"/>
          <w:szCs w:val="22"/>
        </w:rPr>
        <w:t xml:space="preserve"> </w:t>
      </w:r>
      <w:r w:rsidR="00DD0FD7" w:rsidRPr="00DD0FD7">
        <w:rPr>
          <w:rFonts w:ascii="Arial" w:hAnsi="Arial" w:cs="Arial"/>
          <w:iCs/>
          <w:sz w:val="24"/>
          <w:szCs w:val="24"/>
        </w:rPr>
        <w:t xml:space="preserve">Il pourra faire l’objet de reconductions explicites dans la limite de </w:t>
      </w:r>
      <w:r w:rsidR="00DD0FD7">
        <w:rPr>
          <w:rFonts w:ascii="Arial" w:hAnsi="Arial" w:cs="Arial"/>
          <w:iCs/>
          <w:sz w:val="24"/>
          <w:szCs w:val="24"/>
        </w:rPr>
        <w:t>cinq</w:t>
      </w:r>
      <w:r w:rsidR="00DD0FD7" w:rsidRPr="00DD0FD7">
        <w:rPr>
          <w:rFonts w:ascii="Arial" w:hAnsi="Arial" w:cs="Arial"/>
          <w:iCs/>
          <w:sz w:val="24"/>
          <w:szCs w:val="24"/>
        </w:rPr>
        <w:t xml:space="preserve"> fois une année soit jusqu’au 31 décembre 20</w:t>
      </w:r>
      <w:r w:rsidR="00DD0FD7">
        <w:rPr>
          <w:rFonts w:ascii="Arial" w:hAnsi="Arial" w:cs="Arial"/>
          <w:iCs/>
          <w:sz w:val="24"/>
          <w:szCs w:val="24"/>
        </w:rPr>
        <w:t>32</w:t>
      </w:r>
      <w:r w:rsidR="00DD0FD7" w:rsidRPr="00DD0FD7">
        <w:rPr>
          <w:rFonts w:ascii="Arial" w:hAnsi="Arial" w:cs="Arial"/>
          <w:iCs/>
          <w:sz w:val="24"/>
          <w:szCs w:val="24"/>
        </w:rPr>
        <w:t>.</w:t>
      </w:r>
    </w:p>
    <w:p w14:paraId="51C59795" w14:textId="77777777" w:rsidR="00301C9D" w:rsidRPr="00301C9D" w:rsidRDefault="00301C9D" w:rsidP="00CE482C">
      <w:pPr>
        <w:jc w:val="both"/>
        <w:rPr>
          <w:rFonts w:ascii="Arial" w:hAnsi="Arial" w:cs="Arial"/>
          <w:i/>
          <w:iCs/>
          <w:sz w:val="24"/>
          <w:szCs w:val="24"/>
        </w:rPr>
      </w:pPr>
    </w:p>
    <w:p w14:paraId="24550274"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1.6 – </w:t>
      </w:r>
      <w:bookmarkEnd w:id="9"/>
      <w:r w:rsidRPr="00301C9D">
        <w:rPr>
          <w:rFonts w:ascii="Arial" w:hAnsi="Arial" w:cs="Arial"/>
          <w:iCs/>
          <w:sz w:val="24"/>
          <w:szCs w:val="24"/>
        </w:rPr>
        <w:t xml:space="preserve">Allotissement </w:t>
      </w:r>
    </w:p>
    <w:p w14:paraId="7F54A641" w14:textId="2888AA4F" w:rsidR="00CE482C" w:rsidRPr="00301C9D" w:rsidRDefault="00F90D3E" w:rsidP="00CE482C">
      <w:pPr>
        <w:jc w:val="both"/>
        <w:rPr>
          <w:rFonts w:ascii="Arial" w:hAnsi="Arial" w:cs="Arial"/>
          <w:iCs/>
          <w:sz w:val="24"/>
          <w:szCs w:val="24"/>
        </w:rPr>
      </w:pPr>
      <w:r>
        <w:rPr>
          <w:rFonts w:ascii="Arial" w:hAnsi="Arial" w:cs="Arial"/>
          <w:iCs/>
          <w:sz w:val="24"/>
          <w:szCs w:val="24"/>
        </w:rPr>
        <w:t>Cette</w:t>
      </w:r>
      <w:r w:rsidR="00301C9D" w:rsidRPr="00301C9D">
        <w:rPr>
          <w:rFonts w:ascii="Arial" w:hAnsi="Arial" w:cs="Arial"/>
          <w:iCs/>
          <w:sz w:val="24"/>
          <w:szCs w:val="24"/>
        </w:rPr>
        <w:t xml:space="preserve"> consultation est composée </w:t>
      </w:r>
      <w:r w:rsidR="003607BF">
        <w:rPr>
          <w:rFonts w:ascii="Arial" w:hAnsi="Arial" w:cs="Arial"/>
          <w:iCs/>
          <w:sz w:val="24"/>
          <w:szCs w:val="24"/>
        </w:rPr>
        <w:t>de trois</w:t>
      </w:r>
      <w:r>
        <w:rPr>
          <w:rFonts w:ascii="Arial" w:hAnsi="Arial" w:cs="Arial"/>
          <w:iCs/>
          <w:sz w:val="24"/>
          <w:szCs w:val="24"/>
        </w:rPr>
        <w:t xml:space="preserve"> lot</w:t>
      </w:r>
      <w:r w:rsidR="003607BF">
        <w:rPr>
          <w:rFonts w:ascii="Arial" w:hAnsi="Arial" w:cs="Arial"/>
          <w:iCs/>
          <w:sz w:val="24"/>
          <w:szCs w:val="24"/>
        </w:rPr>
        <w:t>s</w:t>
      </w:r>
      <w:r w:rsidR="00301C9D" w:rsidRPr="00301C9D">
        <w:rPr>
          <w:rFonts w:ascii="Arial" w:hAnsi="Arial" w:cs="Arial"/>
          <w:iCs/>
          <w:sz w:val="24"/>
          <w:szCs w:val="24"/>
        </w:rPr>
        <w:t xml:space="preserve">, dont la définition exacte </w:t>
      </w:r>
      <w:r w:rsidR="00EF0242">
        <w:rPr>
          <w:rFonts w:ascii="Arial" w:hAnsi="Arial" w:cs="Arial"/>
          <w:iCs/>
          <w:sz w:val="24"/>
          <w:szCs w:val="24"/>
        </w:rPr>
        <w:t>figure</w:t>
      </w:r>
      <w:r w:rsidR="00301C9D" w:rsidRPr="00301C9D">
        <w:rPr>
          <w:rFonts w:ascii="Arial" w:hAnsi="Arial" w:cs="Arial"/>
          <w:iCs/>
          <w:sz w:val="24"/>
          <w:szCs w:val="24"/>
        </w:rPr>
        <w:t xml:space="preserve"> dans l</w:t>
      </w:r>
      <w:r w:rsidR="003607BF">
        <w:rPr>
          <w:rFonts w:ascii="Arial" w:hAnsi="Arial" w:cs="Arial"/>
          <w:iCs/>
          <w:sz w:val="24"/>
          <w:szCs w:val="24"/>
        </w:rPr>
        <w:t xml:space="preserve">es </w:t>
      </w:r>
      <w:r w:rsidR="00301C9D" w:rsidRPr="00301C9D">
        <w:rPr>
          <w:rFonts w:ascii="Arial" w:hAnsi="Arial" w:cs="Arial"/>
          <w:iCs/>
          <w:sz w:val="24"/>
          <w:szCs w:val="24"/>
        </w:rPr>
        <w:t>annexe</w:t>
      </w:r>
      <w:r w:rsidR="003607BF">
        <w:rPr>
          <w:rFonts w:ascii="Arial" w:hAnsi="Arial" w:cs="Arial"/>
          <w:iCs/>
          <w:sz w:val="24"/>
          <w:szCs w:val="24"/>
        </w:rPr>
        <w:t>s</w:t>
      </w:r>
      <w:r w:rsidR="00301C9D" w:rsidRPr="00301C9D">
        <w:rPr>
          <w:rFonts w:ascii="Arial" w:hAnsi="Arial" w:cs="Arial"/>
          <w:iCs/>
          <w:sz w:val="24"/>
          <w:szCs w:val="24"/>
        </w:rPr>
        <w:t xml:space="preserve"> 1 </w:t>
      </w:r>
      <w:r w:rsidR="003607BF">
        <w:rPr>
          <w:rFonts w:ascii="Arial" w:hAnsi="Arial" w:cs="Arial"/>
          <w:iCs/>
          <w:sz w:val="24"/>
          <w:szCs w:val="24"/>
        </w:rPr>
        <w:t xml:space="preserve">à 3 </w:t>
      </w:r>
      <w:r w:rsidR="00301C9D" w:rsidRPr="00301C9D">
        <w:rPr>
          <w:rFonts w:ascii="Arial" w:hAnsi="Arial" w:cs="Arial"/>
          <w:iCs/>
          <w:sz w:val="24"/>
          <w:szCs w:val="24"/>
        </w:rPr>
        <w:t>du CCTP.</w:t>
      </w:r>
    </w:p>
    <w:p w14:paraId="3351B31B" w14:textId="4415A2F3" w:rsidR="00301C9D" w:rsidRDefault="00301C9D" w:rsidP="00F90D3E">
      <w:pPr>
        <w:ind w:firstLine="708"/>
        <w:jc w:val="both"/>
        <w:rPr>
          <w:rFonts w:ascii="Arial" w:hAnsi="Arial" w:cs="Arial"/>
          <w:iCs/>
          <w:sz w:val="24"/>
          <w:szCs w:val="24"/>
        </w:rPr>
      </w:pPr>
      <w:r w:rsidRPr="00301C9D">
        <w:rPr>
          <w:rFonts w:ascii="Arial" w:hAnsi="Arial" w:cs="Arial"/>
          <w:iCs/>
          <w:sz w:val="24"/>
          <w:szCs w:val="24"/>
        </w:rPr>
        <w:t xml:space="preserve">- Lot 1 : Véhicules de type scolaire </w:t>
      </w:r>
      <w:r w:rsidR="003607BF">
        <w:rPr>
          <w:rFonts w:ascii="Arial" w:hAnsi="Arial" w:cs="Arial"/>
          <w:iCs/>
          <w:sz w:val="24"/>
          <w:szCs w:val="24"/>
        </w:rPr>
        <w:t>9</w:t>
      </w:r>
      <w:r w:rsidRPr="00301C9D">
        <w:rPr>
          <w:rFonts w:ascii="Arial" w:hAnsi="Arial" w:cs="Arial"/>
          <w:iCs/>
          <w:sz w:val="24"/>
          <w:szCs w:val="24"/>
        </w:rPr>
        <w:t xml:space="preserve"> places</w:t>
      </w:r>
      <w:r w:rsidR="00EF0242">
        <w:rPr>
          <w:rFonts w:ascii="Arial" w:hAnsi="Arial" w:cs="Arial"/>
          <w:iCs/>
          <w:sz w:val="24"/>
          <w:szCs w:val="24"/>
        </w:rPr>
        <w:t>,</w:t>
      </w:r>
      <w:r w:rsidR="008600E0">
        <w:rPr>
          <w:rFonts w:ascii="Arial" w:hAnsi="Arial" w:cs="Arial"/>
          <w:iCs/>
          <w:sz w:val="24"/>
          <w:szCs w:val="24"/>
        </w:rPr>
        <w:t xml:space="preserve"> </w:t>
      </w:r>
      <w:r w:rsidR="00EF0242">
        <w:rPr>
          <w:rFonts w:ascii="Arial" w:hAnsi="Arial" w:cs="Arial"/>
          <w:iCs/>
          <w:sz w:val="24"/>
          <w:szCs w:val="24"/>
        </w:rPr>
        <w:t xml:space="preserve">motorisation </w:t>
      </w:r>
      <w:r w:rsidR="008600E0">
        <w:rPr>
          <w:rFonts w:ascii="Arial" w:hAnsi="Arial" w:cs="Arial"/>
          <w:iCs/>
          <w:sz w:val="24"/>
          <w:szCs w:val="24"/>
        </w:rPr>
        <w:t>thermique</w:t>
      </w:r>
    </w:p>
    <w:p w14:paraId="4CC42AD7" w14:textId="05B138D5" w:rsidR="003607BF" w:rsidRDefault="003607BF" w:rsidP="003607BF">
      <w:pPr>
        <w:ind w:firstLine="708"/>
        <w:jc w:val="both"/>
        <w:rPr>
          <w:rFonts w:ascii="Arial" w:hAnsi="Arial" w:cs="Arial"/>
          <w:iCs/>
          <w:sz w:val="24"/>
          <w:szCs w:val="24"/>
        </w:rPr>
      </w:pPr>
      <w:r>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2</w:t>
      </w:r>
      <w:r w:rsidRPr="00301C9D">
        <w:rPr>
          <w:rFonts w:ascii="Arial" w:hAnsi="Arial" w:cs="Arial"/>
          <w:iCs/>
          <w:sz w:val="24"/>
          <w:szCs w:val="24"/>
        </w:rPr>
        <w:t> : Véhicules de type scolaire</w:t>
      </w:r>
      <w:r>
        <w:rPr>
          <w:rFonts w:ascii="Arial" w:hAnsi="Arial" w:cs="Arial"/>
          <w:iCs/>
          <w:sz w:val="24"/>
          <w:szCs w:val="24"/>
        </w:rPr>
        <w:t xml:space="preserve"> 9 </w:t>
      </w:r>
      <w:r w:rsidRPr="00301C9D">
        <w:rPr>
          <w:rFonts w:ascii="Arial" w:hAnsi="Arial" w:cs="Arial"/>
          <w:iCs/>
          <w:sz w:val="24"/>
          <w:szCs w:val="24"/>
        </w:rPr>
        <w:t>places</w:t>
      </w:r>
      <w:r>
        <w:rPr>
          <w:rFonts w:ascii="Arial" w:hAnsi="Arial" w:cs="Arial"/>
          <w:iCs/>
          <w:sz w:val="24"/>
          <w:szCs w:val="24"/>
        </w:rPr>
        <w:t>, motorisation électrique</w:t>
      </w:r>
    </w:p>
    <w:p w14:paraId="4EDDCC0D" w14:textId="7F3577D4" w:rsidR="003607BF" w:rsidRDefault="003607BF" w:rsidP="003607BF">
      <w:pPr>
        <w:ind w:firstLine="708"/>
        <w:jc w:val="both"/>
        <w:rPr>
          <w:rFonts w:ascii="Arial" w:hAnsi="Arial" w:cs="Arial"/>
          <w:iCs/>
          <w:sz w:val="24"/>
          <w:szCs w:val="24"/>
        </w:rPr>
      </w:pPr>
      <w:r>
        <w:rPr>
          <w:rFonts w:ascii="Arial" w:hAnsi="Arial" w:cs="Arial"/>
          <w:iCs/>
          <w:sz w:val="24"/>
          <w:szCs w:val="24"/>
        </w:rPr>
        <w:t>-</w:t>
      </w:r>
      <w:r w:rsidRPr="003607BF">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3</w:t>
      </w:r>
      <w:r w:rsidRPr="00301C9D">
        <w:rPr>
          <w:rFonts w:ascii="Arial" w:hAnsi="Arial" w:cs="Arial"/>
          <w:iCs/>
          <w:sz w:val="24"/>
          <w:szCs w:val="24"/>
        </w:rPr>
        <w:t xml:space="preserve"> : Véhicules de type scolaire </w:t>
      </w:r>
      <w:r>
        <w:rPr>
          <w:rFonts w:ascii="Arial" w:hAnsi="Arial" w:cs="Arial"/>
          <w:iCs/>
          <w:sz w:val="24"/>
          <w:szCs w:val="24"/>
        </w:rPr>
        <w:t>22</w:t>
      </w:r>
      <w:r w:rsidRPr="00301C9D">
        <w:rPr>
          <w:rFonts w:ascii="Arial" w:hAnsi="Arial" w:cs="Arial"/>
          <w:iCs/>
          <w:sz w:val="24"/>
          <w:szCs w:val="24"/>
        </w:rPr>
        <w:t xml:space="preserve"> places</w:t>
      </w:r>
      <w:r>
        <w:rPr>
          <w:rFonts w:ascii="Arial" w:hAnsi="Arial" w:cs="Arial"/>
          <w:iCs/>
          <w:sz w:val="24"/>
          <w:szCs w:val="24"/>
        </w:rPr>
        <w:t>, motorisation thermique</w:t>
      </w:r>
    </w:p>
    <w:p w14:paraId="45077985" w14:textId="77777777" w:rsidR="00301C9D" w:rsidRPr="00462FCC" w:rsidRDefault="00301C9D" w:rsidP="00CE482C">
      <w:pPr>
        <w:jc w:val="both"/>
        <w:rPr>
          <w:rFonts w:ascii="Arial" w:hAnsi="Arial" w:cs="Arial"/>
          <w:sz w:val="24"/>
          <w:szCs w:val="24"/>
        </w:rPr>
      </w:pPr>
    </w:p>
    <w:p w14:paraId="12C3A42C" w14:textId="1FAC9F41" w:rsidR="00F90D3E" w:rsidRDefault="00301C9D" w:rsidP="00DD0FD7">
      <w:pPr>
        <w:jc w:val="both"/>
        <w:rPr>
          <w:rFonts w:ascii="Arial" w:hAnsi="Arial" w:cs="Arial"/>
          <w:iCs/>
          <w:sz w:val="24"/>
          <w:szCs w:val="24"/>
        </w:rPr>
      </w:pPr>
      <w:r w:rsidRPr="00301C9D">
        <w:rPr>
          <w:rFonts w:ascii="Arial" w:hAnsi="Arial" w:cs="Arial"/>
          <w:iCs/>
          <w:sz w:val="24"/>
          <w:szCs w:val="24"/>
        </w:rPr>
        <w:t xml:space="preserve">1.7 – Volumes minimum et maximum pour la durée du marché, reconductions incluses. </w:t>
      </w:r>
    </w:p>
    <w:p w14:paraId="2DA11A5B" w14:textId="50E89DDD" w:rsidR="003607BF" w:rsidRDefault="003607BF" w:rsidP="003607BF">
      <w:pPr>
        <w:ind w:firstLine="708"/>
        <w:jc w:val="both"/>
        <w:rPr>
          <w:rFonts w:ascii="Arial" w:hAnsi="Arial" w:cs="Arial"/>
          <w:iCs/>
          <w:sz w:val="24"/>
          <w:szCs w:val="24"/>
        </w:rPr>
      </w:pPr>
      <w:r w:rsidRPr="00301C9D">
        <w:rPr>
          <w:rFonts w:ascii="Arial" w:hAnsi="Arial" w:cs="Arial"/>
          <w:iCs/>
          <w:sz w:val="24"/>
          <w:szCs w:val="24"/>
        </w:rPr>
        <w:t xml:space="preserve">- Lot 1 : Véhicules de type scolaire </w:t>
      </w:r>
      <w:r>
        <w:rPr>
          <w:rFonts w:ascii="Arial" w:hAnsi="Arial" w:cs="Arial"/>
          <w:iCs/>
          <w:sz w:val="24"/>
          <w:szCs w:val="24"/>
        </w:rPr>
        <w:t>9</w:t>
      </w:r>
      <w:r w:rsidRPr="00301C9D">
        <w:rPr>
          <w:rFonts w:ascii="Arial" w:hAnsi="Arial" w:cs="Arial"/>
          <w:iCs/>
          <w:sz w:val="24"/>
          <w:szCs w:val="24"/>
        </w:rPr>
        <w:t xml:space="preserve"> places</w:t>
      </w:r>
      <w:r>
        <w:rPr>
          <w:rFonts w:ascii="Arial" w:hAnsi="Arial" w:cs="Arial"/>
          <w:iCs/>
          <w:sz w:val="24"/>
          <w:szCs w:val="24"/>
        </w:rPr>
        <w:t xml:space="preserve">, motorisation thermique </w:t>
      </w:r>
      <w:r w:rsidRPr="00735E65">
        <w:rPr>
          <w:rFonts w:ascii="Arial" w:hAnsi="Arial" w:cs="Arial"/>
          <w:iCs/>
          <w:sz w:val="24"/>
          <w:szCs w:val="24"/>
        </w:rPr>
        <w:t xml:space="preserve">– De 0 à </w:t>
      </w:r>
      <w:r w:rsidR="00DD0FD7" w:rsidRPr="00735E65">
        <w:rPr>
          <w:rFonts w:ascii="Arial" w:hAnsi="Arial" w:cs="Arial"/>
          <w:iCs/>
          <w:sz w:val="24"/>
          <w:szCs w:val="24"/>
        </w:rPr>
        <w:t>2</w:t>
      </w:r>
      <w:r w:rsidRPr="00735E65">
        <w:rPr>
          <w:rFonts w:ascii="Arial" w:hAnsi="Arial" w:cs="Arial"/>
          <w:iCs/>
          <w:sz w:val="24"/>
          <w:szCs w:val="24"/>
        </w:rPr>
        <w:t>5 véhicules</w:t>
      </w:r>
    </w:p>
    <w:p w14:paraId="187CD606" w14:textId="36B0484E" w:rsidR="003607BF" w:rsidRDefault="003607BF" w:rsidP="003607BF">
      <w:pPr>
        <w:ind w:firstLine="708"/>
        <w:jc w:val="both"/>
        <w:rPr>
          <w:rFonts w:ascii="Arial" w:hAnsi="Arial" w:cs="Arial"/>
          <w:iCs/>
          <w:sz w:val="24"/>
          <w:szCs w:val="24"/>
        </w:rPr>
      </w:pPr>
      <w:r>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2</w:t>
      </w:r>
      <w:r w:rsidRPr="00301C9D">
        <w:rPr>
          <w:rFonts w:ascii="Arial" w:hAnsi="Arial" w:cs="Arial"/>
          <w:iCs/>
          <w:sz w:val="24"/>
          <w:szCs w:val="24"/>
        </w:rPr>
        <w:t> : Véhicules de type scolaire</w:t>
      </w:r>
      <w:r>
        <w:rPr>
          <w:rFonts w:ascii="Arial" w:hAnsi="Arial" w:cs="Arial"/>
          <w:iCs/>
          <w:sz w:val="24"/>
          <w:szCs w:val="24"/>
        </w:rPr>
        <w:t xml:space="preserve"> 9 </w:t>
      </w:r>
      <w:r w:rsidRPr="00301C9D">
        <w:rPr>
          <w:rFonts w:ascii="Arial" w:hAnsi="Arial" w:cs="Arial"/>
          <w:iCs/>
          <w:sz w:val="24"/>
          <w:szCs w:val="24"/>
        </w:rPr>
        <w:t>places</w:t>
      </w:r>
      <w:r>
        <w:rPr>
          <w:rFonts w:ascii="Arial" w:hAnsi="Arial" w:cs="Arial"/>
          <w:iCs/>
          <w:sz w:val="24"/>
          <w:szCs w:val="24"/>
        </w:rPr>
        <w:t xml:space="preserve">, motorisation électrique </w:t>
      </w:r>
      <w:r w:rsidRPr="00301C9D">
        <w:rPr>
          <w:rFonts w:ascii="Arial" w:hAnsi="Arial" w:cs="Arial"/>
          <w:iCs/>
          <w:sz w:val="24"/>
          <w:szCs w:val="24"/>
        </w:rPr>
        <w:t xml:space="preserve">– </w:t>
      </w:r>
      <w:r w:rsidRPr="00735E65">
        <w:rPr>
          <w:rFonts w:ascii="Arial" w:hAnsi="Arial" w:cs="Arial"/>
          <w:iCs/>
          <w:sz w:val="24"/>
          <w:szCs w:val="24"/>
        </w:rPr>
        <w:t xml:space="preserve">De 0 à </w:t>
      </w:r>
      <w:r w:rsidR="00DD0FD7" w:rsidRPr="00735E65">
        <w:rPr>
          <w:rFonts w:ascii="Arial" w:hAnsi="Arial" w:cs="Arial"/>
          <w:iCs/>
          <w:sz w:val="24"/>
          <w:szCs w:val="24"/>
        </w:rPr>
        <w:t>2</w:t>
      </w:r>
      <w:r w:rsidRPr="00735E65">
        <w:rPr>
          <w:rFonts w:ascii="Arial" w:hAnsi="Arial" w:cs="Arial"/>
          <w:iCs/>
          <w:sz w:val="24"/>
          <w:szCs w:val="24"/>
        </w:rPr>
        <w:t>5 véhicules</w:t>
      </w:r>
    </w:p>
    <w:p w14:paraId="082B6A2B" w14:textId="7E04F80A" w:rsidR="003607BF" w:rsidRDefault="003607BF" w:rsidP="003607BF">
      <w:pPr>
        <w:ind w:firstLine="708"/>
        <w:jc w:val="both"/>
        <w:rPr>
          <w:rFonts w:ascii="Arial" w:hAnsi="Arial" w:cs="Arial"/>
          <w:iCs/>
          <w:sz w:val="24"/>
          <w:szCs w:val="24"/>
        </w:rPr>
      </w:pPr>
      <w:r>
        <w:rPr>
          <w:rFonts w:ascii="Arial" w:hAnsi="Arial" w:cs="Arial"/>
          <w:iCs/>
          <w:sz w:val="24"/>
          <w:szCs w:val="24"/>
        </w:rPr>
        <w:t>-</w:t>
      </w:r>
      <w:r w:rsidRPr="003607BF">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3</w:t>
      </w:r>
      <w:r w:rsidRPr="00301C9D">
        <w:rPr>
          <w:rFonts w:ascii="Arial" w:hAnsi="Arial" w:cs="Arial"/>
          <w:iCs/>
          <w:sz w:val="24"/>
          <w:szCs w:val="24"/>
        </w:rPr>
        <w:t xml:space="preserve"> : Véhicules de type scolaire </w:t>
      </w:r>
      <w:r>
        <w:rPr>
          <w:rFonts w:ascii="Arial" w:hAnsi="Arial" w:cs="Arial"/>
          <w:iCs/>
          <w:sz w:val="24"/>
          <w:szCs w:val="24"/>
        </w:rPr>
        <w:t>22</w:t>
      </w:r>
      <w:r w:rsidRPr="00301C9D">
        <w:rPr>
          <w:rFonts w:ascii="Arial" w:hAnsi="Arial" w:cs="Arial"/>
          <w:iCs/>
          <w:sz w:val="24"/>
          <w:szCs w:val="24"/>
        </w:rPr>
        <w:t xml:space="preserve"> places</w:t>
      </w:r>
      <w:r>
        <w:rPr>
          <w:rFonts w:ascii="Arial" w:hAnsi="Arial" w:cs="Arial"/>
          <w:iCs/>
          <w:sz w:val="24"/>
          <w:szCs w:val="24"/>
        </w:rPr>
        <w:t xml:space="preserve">, motorisation thermique </w:t>
      </w:r>
      <w:r w:rsidRPr="00735E65">
        <w:rPr>
          <w:rFonts w:ascii="Arial" w:hAnsi="Arial" w:cs="Arial"/>
          <w:iCs/>
          <w:sz w:val="24"/>
          <w:szCs w:val="24"/>
        </w:rPr>
        <w:t xml:space="preserve">– De 0 à </w:t>
      </w:r>
      <w:r w:rsidR="00DD0FD7" w:rsidRPr="00735E65">
        <w:rPr>
          <w:rFonts w:ascii="Arial" w:hAnsi="Arial" w:cs="Arial"/>
          <w:iCs/>
          <w:sz w:val="24"/>
          <w:szCs w:val="24"/>
        </w:rPr>
        <w:t>30</w:t>
      </w:r>
      <w:r w:rsidRPr="00735E65">
        <w:rPr>
          <w:rFonts w:ascii="Arial" w:hAnsi="Arial" w:cs="Arial"/>
          <w:iCs/>
          <w:sz w:val="24"/>
          <w:szCs w:val="24"/>
        </w:rPr>
        <w:t xml:space="preserve"> véhicules</w:t>
      </w:r>
    </w:p>
    <w:p w14:paraId="59F37AF1" w14:textId="77777777" w:rsidR="00301C9D" w:rsidRPr="00301C9D" w:rsidRDefault="00301C9D" w:rsidP="00301C9D">
      <w:pPr>
        <w:rPr>
          <w:rFonts w:ascii="Arial" w:hAnsi="Arial" w:cs="Arial"/>
          <w:i/>
          <w:iCs/>
          <w:sz w:val="24"/>
          <w:szCs w:val="24"/>
        </w:rPr>
      </w:pPr>
    </w:p>
    <w:p w14:paraId="6CC0500E"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1.8 – Nomenclature (Code CPV)</w:t>
      </w:r>
    </w:p>
    <w:p w14:paraId="28CC277E" w14:textId="77777777" w:rsidR="00301C9D" w:rsidRPr="00301C9D" w:rsidRDefault="00301C9D" w:rsidP="00301C9D">
      <w:pPr>
        <w:rPr>
          <w:rFonts w:ascii="Arial" w:hAnsi="Arial" w:cs="Arial"/>
          <w:i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2"/>
        <w:gridCol w:w="7088"/>
      </w:tblGrid>
      <w:tr w:rsidR="00301C9D" w:rsidRPr="00301C9D" w14:paraId="3616E976" w14:textId="77777777" w:rsidTr="00387213">
        <w:tc>
          <w:tcPr>
            <w:tcW w:w="1560" w:type="dxa"/>
            <w:shd w:val="clear" w:color="auto" w:fill="E2EFD9" w:themeFill="accent6" w:themeFillTint="33"/>
          </w:tcPr>
          <w:p w14:paraId="3B13D0BC" w14:textId="77777777" w:rsidR="00301C9D" w:rsidRPr="00301C9D" w:rsidRDefault="00301C9D" w:rsidP="00301C9D">
            <w:pPr>
              <w:rPr>
                <w:rFonts w:ascii="Arial" w:hAnsi="Arial" w:cs="Arial"/>
                <w:iCs/>
                <w:sz w:val="24"/>
                <w:szCs w:val="24"/>
              </w:rPr>
            </w:pPr>
          </w:p>
        </w:tc>
        <w:tc>
          <w:tcPr>
            <w:tcW w:w="1842" w:type="dxa"/>
            <w:shd w:val="clear" w:color="auto" w:fill="E2EFD9" w:themeFill="accent6" w:themeFillTint="33"/>
          </w:tcPr>
          <w:p w14:paraId="023B8C79"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Code principal</w:t>
            </w:r>
          </w:p>
        </w:tc>
        <w:tc>
          <w:tcPr>
            <w:tcW w:w="7088" w:type="dxa"/>
            <w:shd w:val="clear" w:color="auto" w:fill="E2EFD9" w:themeFill="accent6" w:themeFillTint="33"/>
          </w:tcPr>
          <w:p w14:paraId="4188BF12"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Description</w:t>
            </w:r>
          </w:p>
        </w:tc>
      </w:tr>
      <w:tr w:rsidR="003607BF" w:rsidRPr="00301C9D" w14:paraId="4D17807B" w14:textId="77777777" w:rsidTr="00F74456">
        <w:tc>
          <w:tcPr>
            <w:tcW w:w="1560" w:type="dxa"/>
          </w:tcPr>
          <w:p w14:paraId="46D2B84E" w14:textId="6B30643F" w:rsidR="003607BF" w:rsidRPr="00301C9D" w:rsidRDefault="003607BF" w:rsidP="00620E8A">
            <w:pPr>
              <w:rPr>
                <w:rFonts w:ascii="Arial" w:hAnsi="Arial" w:cs="Arial"/>
                <w:iCs/>
                <w:sz w:val="24"/>
                <w:szCs w:val="24"/>
              </w:rPr>
            </w:pPr>
            <w:r>
              <w:rPr>
                <w:rFonts w:ascii="Arial" w:hAnsi="Arial" w:cs="Arial"/>
                <w:iCs/>
                <w:sz w:val="24"/>
                <w:szCs w:val="24"/>
              </w:rPr>
              <w:t>Lot 1</w:t>
            </w:r>
          </w:p>
        </w:tc>
        <w:tc>
          <w:tcPr>
            <w:tcW w:w="1842" w:type="dxa"/>
          </w:tcPr>
          <w:p w14:paraId="1CF55657" w14:textId="3D24AF4D" w:rsidR="003607BF" w:rsidRPr="00301C9D" w:rsidRDefault="00DD0FD7" w:rsidP="00620E8A">
            <w:pPr>
              <w:rPr>
                <w:rFonts w:ascii="Arial" w:hAnsi="Arial" w:cs="Arial"/>
                <w:iCs/>
                <w:sz w:val="24"/>
                <w:szCs w:val="24"/>
              </w:rPr>
            </w:pPr>
            <w:r>
              <w:rPr>
                <w:rFonts w:ascii="Arial" w:hAnsi="Arial" w:cs="Arial"/>
                <w:iCs/>
                <w:sz w:val="24"/>
                <w:szCs w:val="24"/>
              </w:rPr>
              <w:t>34115200-8</w:t>
            </w:r>
          </w:p>
        </w:tc>
        <w:tc>
          <w:tcPr>
            <w:tcW w:w="7088" w:type="dxa"/>
          </w:tcPr>
          <w:p w14:paraId="0AFDFE75" w14:textId="3620EE7F" w:rsidR="003607BF" w:rsidRDefault="00DD0FD7" w:rsidP="00620E8A">
            <w:pPr>
              <w:rPr>
                <w:rFonts w:ascii="Arial" w:hAnsi="Arial" w:cs="Arial"/>
                <w:iCs/>
                <w:sz w:val="24"/>
                <w:szCs w:val="24"/>
              </w:rPr>
            </w:pPr>
            <w:r>
              <w:rPr>
                <w:rFonts w:ascii="Arial" w:hAnsi="Arial" w:cs="Arial"/>
                <w:iCs/>
                <w:sz w:val="24"/>
                <w:szCs w:val="24"/>
              </w:rPr>
              <w:t>Véhicules à moteur pour le transport de moins de dix personnes</w:t>
            </w:r>
          </w:p>
        </w:tc>
      </w:tr>
      <w:tr w:rsidR="00DD0FD7" w:rsidRPr="00301C9D" w14:paraId="26FAEE73" w14:textId="77777777" w:rsidTr="00F74456">
        <w:tc>
          <w:tcPr>
            <w:tcW w:w="1560" w:type="dxa"/>
          </w:tcPr>
          <w:p w14:paraId="1A3B07AA" w14:textId="58FA37F0" w:rsidR="00DD0FD7" w:rsidRPr="00301C9D" w:rsidRDefault="00DD0FD7" w:rsidP="00DD0FD7">
            <w:pPr>
              <w:rPr>
                <w:rFonts w:ascii="Arial" w:hAnsi="Arial" w:cs="Arial"/>
                <w:iCs/>
                <w:sz w:val="24"/>
                <w:szCs w:val="24"/>
              </w:rPr>
            </w:pPr>
            <w:r>
              <w:rPr>
                <w:rFonts w:ascii="Arial" w:hAnsi="Arial" w:cs="Arial"/>
                <w:iCs/>
                <w:sz w:val="24"/>
                <w:szCs w:val="24"/>
              </w:rPr>
              <w:t>Lot 2</w:t>
            </w:r>
          </w:p>
        </w:tc>
        <w:tc>
          <w:tcPr>
            <w:tcW w:w="1842" w:type="dxa"/>
          </w:tcPr>
          <w:p w14:paraId="65A1D095" w14:textId="027BB050" w:rsidR="00DD0FD7" w:rsidRPr="00301C9D" w:rsidRDefault="00DD0FD7" w:rsidP="00DD0FD7">
            <w:pPr>
              <w:rPr>
                <w:rFonts w:ascii="Arial" w:hAnsi="Arial" w:cs="Arial"/>
                <w:iCs/>
                <w:sz w:val="24"/>
                <w:szCs w:val="24"/>
              </w:rPr>
            </w:pPr>
            <w:r>
              <w:rPr>
                <w:rFonts w:ascii="Arial" w:hAnsi="Arial" w:cs="Arial"/>
                <w:iCs/>
                <w:sz w:val="24"/>
                <w:szCs w:val="24"/>
              </w:rPr>
              <w:t>34115200-8</w:t>
            </w:r>
          </w:p>
        </w:tc>
        <w:tc>
          <w:tcPr>
            <w:tcW w:w="7088" w:type="dxa"/>
          </w:tcPr>
          <w:p w14:paraId="0BCBDD71" w14:textId="5E279B71" w:rsidR="00DD0FD7" w:rsidRDefault="00DD0FD7" w:rsidP="00DD0FD7">
            <w:pPr>
              <w:rPr>
                <w:rFonts w:ascii="Arial" w:hAnsi="Arial" w:cs="Arial"/>
                <w:iCs/>
                <w:sz w:val="24"/>
                <w:szCs w:val="24"/>
              </w:rPr>
            </w:pPr>
            <w:r>
              <w:rPr>
                <w:rFonts w:ascii="Arial" w:hAnsi="Arial" w:cs="Arial"/>
                <w:iCs/>
                <w:sz w:val="24"/>
                <w:szCs w:val="24"/>
              </w:rPr>
              <w:t>Véhicules à moteur pour le transport de moins de dix personnes</w:t>
            </w:r>
          </w:p>
        </w:tc>
      </w:tr>
      <w:tr w:rsidR="00DD0FD7" w:rsidRPr="00301C9D" w14:paraId="2859568A" w14:textId="77777777" w:rsidTr="00F74456">
        <w:tc>
          <w:tcPr>
            <w:tcW w:w="1560" w:type="dxa"/>
          </w:tcPr>
          <w:p w14:paraId="46F1496A" w14:textId="1E938AF6" w:rsidR="00DD0FD7" w:rsidRPr="00301C9D" w:rsidRDefault="00DD0FD7" w:rsidP="00DD0FD7">
            <w:pPr>
              <w:rPr>
                <w:rFonts w:ascii="Arial" w:hAnsi="Arial" w:cs="Arial"/>
                <w:iCs/>
                <w:sz w:val="24"/>
                <w:szCs w:val="24"/>
              </w:rPr>
            </w:pPr>
            <w:r w:rsidRPr="00301C9D">
              <w:rPr>
                <w:rFonts w:ascii="Arial" w:hAnsi="Arial" w:cs="Arial"/>
                <w:iCs/>
                <w:sz w:val="24"/>
                <w:szCs w:val="24"/>
              </w:rPr>
              <w:t xml:space="preserve">Lot </w:t>
            </w:r>
            <w:r>
              <w:rPr>
                <w:rFonts w:ascii="Arial" w:hAnsi="Arial" w:cs="Arial"/>
                <w:iCs/>
                <w:sz w:val="24"/>
                <w:szCs w:val="24"/>
              </w:rPr>
              <w:t>3</w:t>
            </w:r>
          </w:p>
        </w:tc>
        <w:tc>
          <w:tcPr>
            <w:tcW w:w="1842" w:type="dxa"/>
          </w:tcPr>
          <w:p w14:paraId="319A4B17" w14:textId="70BF4F69" w:rsidR="00DD0FD7" w:rsidRPr="00301C9D" w:rsidRDefault="00DD0FD7" w:rsidP="00DD0FD7">
            <w:pPr>
              <w:rPr>
                <w:rFonts w:ascii="Arial" w:hAnsi="Arial" w:cs="Arial"/>
                <w:iCs/>
                <w:sz w:val="24"/>
                <w:szCs w:val="24"/>
              </w:rPr>
            </w:pPr>
            <w:r w:rsidRPr="00301C9D">
              <w:rPr>
                <w:rFonts w:ascii="Arial" w:hAnsi="Arial" w:cs="Arial"/>
                <w:iCs/>
                <w:sz w:val="24"/>
                <w:szCs w:val="24"/>
              </w:rPr>
              <w:t>341</w:t>
            </w:r>
            <w:r>
              <w:rPr>
                <w:rFonts w:ascii="Arial" w:hAnsi="Arial" w:cs="Arial"/>
                <w:iCs/>
                <w:sz w:val="24"/>
                <w:szCs w:val="24"/>
              </w:rPr>
              <w:t>14400-3</w:t>
            </w:r>
          </w:p>
        </w:tc>
        <w:tc>
          <w:tcPr>
            <w:tcW w:w="7088" w:type="dxa"/>
          </w:tcPr>
          <w:p w14:paraId="073F7432" w14:textId="47977D82" w:rsidR="00DD0FD7" w:rsidRPr="00301C9D" w:rsidRDefault="00DD0FD7" w:rsidP="00DD0FD7">
            <w:pPr>
              <w:rPr>
                <w:rFonts w:ascii="Arial" w:hAnsi="Arial" w:cs="Arial"/>
                <w:iCs/>
                <w:sz w:val="24"/>
                <w:szCs w:val="24"/>
              </w:rPr>
            </w:pPr>
            <w:r>
              <w:rPr>
                <w:rFonts w:ascii="Arial" w:hAnsi="Arial" w:cs="Arial"/>
                <w:iCs/>
                <w:sz w:val="24"/>
                <w:szCs w:val="24"/>
              </w:rPr>
              <w:t>Minibus</w:t>
            </w:r>
          </w:p>
        </w:tc>
      </w:tr>
      <w:bookmarkEnd w:id="10"/>
    </w:tbl>
    <w:p w14:paraId="0659C4B4" w14:textId="77777777" w:rsidR="00301C9D" w:rsidRPr="00301C9D" w:rsidRDefault="00301C9D" w:rsidP="00301C9D">
      <w:pPr>
        <w:rPr>
          <w:rFonts w:ascii="Arial" w:hAnsi="Arial" w:cs="Arial"/>
          <w:iCs/>
          <w:sz w:val="24"/>
          <w:szCs w:val="24"/>
        </w:rPr>
      </w:pPr>
    </w:p>
    <w:p w14:paraId="5893CA3C"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2 : Conditions de la consultation</w:t>
      </w:r>
    </w:p>
    <w:p w14:paraId="38C24E04" w14:textId="77777777" w:rsidR="00301C9D" w:rsidRPr="00301C9D" w:rsidRDefault="00301C9D" w:rsidP="00301C9D">
      <w:pPr>
        <w:rPr>
          <w:rFonts w:ascii="Arial" w:hAnsi="Arial" w:cs="Arial"/>
          <w:i/>
          <w:iCs/>
          <w:sz w:val="24"/>
          <w:szCs w:val="24"/>
        </w:rPr>
      </w:pPr>
    </w:p>
    <w:p w14:paraId="1137D0B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2.1 – Délai de validité des offres</w:t>
      </w:r>
    </w:p>
    <w:p w14:paraId="254EA71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délai de validité des offres est fixé à 120 jours à compter de la date limite de réception des offres.</w:t>
      </w:r>
    </w:p>
    <w:p w14:paraId="1ED5AF9B" w14:textId="77777777" w:rsidR="00301C9D" w:rsidRPr="00301C9D" w:rsidRDefault="00301C9D" w:rsidP="00301C9D">
      <w:pPr>
        <w:rPr>
          <w:rFonts w:ascii="Arial" w:hAnsi="Arial" w:cs="Arial"/>
          <w:iCs/>
          <w:sz w:val="24"/>
          <w:szCs w:val="24"/>
        </w:rPr>
      </w:pPr>
    </w:p>
    <w:p w14:paraId="06BE88B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2.2 – Forme juridique du groupement</w:t>
      </w:r>
    </w:p>
    <w:p w14:paraId="569022F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pouvoir adjudicateur n’impose aucune forme de groupement à l’attributaire du marché.</w:t>
      </w:r>
    </w:p>
    <w:p w14:paraId="729AE81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Il est interdit aux candidats de présenter plusieurs offres en agissant à la fois en qualité de candidats individuels et de membres d’un ou plusieurs groupements ou en qualité de membres de plusieurs groupements.</w:t>
      </w:r>
    </w:p>
    <w:p w14:paraId="3BC6FD05" w14:textId="77777777" w:rsidR="00301C9D" w:rsidRPr="00301C9D" w:rsidRDefault="00301C9D" w:rsidP="00301C9D">
      <w:pPr>
        <w:rPr>
          <w:rFonts w:ascii="Arial" w:hAnsi="Arial" w:cs="Arial"/>
          <w:iCs/>
          <w:sz w:val="24"/>
          <w:szCs w:val="24"/>
        </w:rPr>
      </w:pPr>
    </w:p>
    <w:p w14:paraId="0E483EEA"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3 : Modalités de financement et de paiement</w:t>
      </w:r>
    </w:p>
    <w:p w14:paraId="04A25008" w14:textId="77777777" w:rsidR="00301C9D" w:rsidRPr="00301C9D" w:rsidRDefault="00301C9D" w:rsidP="00301C9D">
      <w:pPr>
        <w:rPr>
          <w:rFonts w:ascii="Arial" w:hAnsi="Arial" w:cs="Arial"/>
          <w:iCs/>
          <w:sz w:val="24"/>
          <w:szCs w:val="24"/>
        </w:rPr>
      </w:pPr>
    </w:p>
    <w:p w14:paraId="61E4FF26"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prestations seront financées soit sur les ressources propres de MBFC ou sous forme de crédit-bail.</w:t>
      </w:r>
    </w:p>
    <w:p w14:paraId="291D302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sommes dues au(x) titulaire(s) seront payées dans un délai global de 30 jours à compter de la date de réception des factures ou des demandes de paiement équivalentes.</w:t>
      </w:r>
    </w:p>
    <w:p w14:paraId="4CC9433D" w14:textId="77777777" w:rsidR="00301C9D" w:rsidRPr="00301C9D" w:rsidRDefault="00301C9D" w:rsidP="00301C9D">
      <w:pPr>
        <w:rPr>
          <w:rFonts w:ascii="Arial" w:hAnsi="Arial" w:cs="Arial"/>
          <w:iCs/>
          <w:sz w:val="24"/>
          <w:szCs w:val="24"/>
        </w:rPr>
      </w:pPr>
    </w:p>
    <w:p w14:paraId="602550E0"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4 : Contenu du dossier de consultation</w:t>
      </w:r>
    </w:p>
    <w:p w14:paraId="129C99CA" w14:textId="77777777" w:rsidR="00301C9D" w:rsidRPr="00301C9D" w:rsidRDefault="00301C9D" w:rsidP="00301C9D">
      <w:pPr>
        <w:rPr>
          <w:rFonts w:ascii="Arial" w:hAnsi="Arial" w:cs="Arial"/>
          <w:iCs/>
          <w:sz w:val="24"/>
          <w:szCs w:val="24"/>
        </w:rPr>
      </w:pPr>
    </w:p>
    <w:p w14:paraId="1CC489E4"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Le dossier de consultation des entreprises (DCE) contient les pièces suivantes :</w:t>
      </w:r>
    </w:p>
    <w:p w14:paraId="3AEAA973"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présent règlement de consultation (RC),</w:t>
      </w:r>
    </w:p>
    <w:p w14:paraId="57736E67"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dossier de candidature</w:t>
      </w:r>
    </w:p>
    <w:p w14:paraId="025F4628"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L’acte d’engagement (AE),</w:t>
      </w:r>
    </w:p>
    <w:p w14:paraId="1C130CC1"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Bordereau des Prix (BP),</w:t>
      </w:r>
    </w:p>
    <w:p w14:paraId="21DCFFA4"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cahier des clauses administratives particulières (C.C.A.P.),</w:t>
      </w:r>
    </w:p>
    <w:p w14:paraId="3647F18C"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cahier des clauses techniques particulières (C.C.T.P.).</w:t>
      </w:r>
    </w:p>
    <w:p w14:paraId="010A5FD4" w14:textId="77777777" w:rsidR="00301C9D" w:rsidRPr="00301C9D" w:rsidRDefault="00301C9D" w:rsidP="00301C9D">
      <w:pPr>
        <w:rPr>
          <w:rFonts w:ascii="Arial" w:hAnsi="Arial" w:cs="Arial"/>
          <w:iCs/>
          <w:sz w:val="24"/>
          <w:szCs w:val="24"/>
        </w:rPr>
      </w:pPr>
    </w:p>
    <w:p w14:paraId="6FC91226" w14:textId="000FFC69" w:rsidR="00301C9D" w:rsidRPr="00301C9D" w:rsidRDefault="00301C9D" w:rsidP="00F90D3E">
      <w:pPr>
        <w:jc w:val="both"/>
        <w:rPr>
          <w:rFonts w:ascii="Arial" w:hAnsi="Arial" w:cs="Arial"/>
          <w:iCs/>
          <w:sz w:val="24"/>
          <w:szCs w:val="24"/>
        </w:rPr>
      </w:pPr>
      <w:r w:rsidRPr="00301C9D">
        <w:rPr>
          <w:rFonts w:ascii="Arial" w:hAnsi="Arial" w:cs="Arial"/>
          <w:iCs/>
          <w:sz w:val="24"/>
          <w:szCs w:val="24"/>
        </w:rPr>
        <w:t>Le cahier des clauses administratives générales (C.C.A.G.), arrêté du 30 mars 2021, applicable aux marchés publics de fournitures courantes et de services, est réputé connu.</w:t>
      </w:r>
    </w:p>
    <w:p w14:paraId="0FCA3287"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 DCE est remis gratuitement à chaque candidat retenu par voie dématérialisée. Aucune demande d’envoi du DCE sur support physique électronique n’est admise. </w:t>
      </w:r>
    </w:p>
    <w:p w14:paraId="5B011CD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pouvoir adjudicateur se réserve le droit d’apporter des modifications au plus tard 5 jours avant la date limite de réception des offres. Ce délai est décompté à partir de la date d’envoi par l’entité adjudicatrice des modifications aux candidats ayant retiré le dossier initial. Les candidats devront répondre alors sur la base de ce dossier modifié sans pouvoir élever aucune réclamation à ce sujet.</w:t>
      </w:r>
    </w:p>
    <w:p w14:paraId="54BD307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Si, pendant l’étude de ce dossier par les candidats la date limite de réception des offres est reportée, la disposition précédente est applicable en fonction de cette nouvelle date.</w:t>
      </w:r>
    </w:p>
    <w:p w14:paraId="2943C9F6" w14:textId="77777777" w:rsidR="00301C9D" w:rsidRPr="00301C9D" w:rsidRDefault="00301C9D" w:rsidP="00301C9D">
      <w:pPr>
        <w:rPr>
          <w:rFonts w:ascii="Arial" w:hAnsi="Arial" w:cs="Arial"/>
          <w:iCs/>
          <w:sz w:val="24"/>
          <w:szCs w:val="24"/>
        </w:rPr>
      </w:pPr>
    </w:p>
    <w:p w14:paraId="28A7A1D5"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5 : Conditions de participation :</w:t>
      </w:r>
    </w:p>
    <w:p w14:paraId="03461F02" w14:textId="77777777" w:rsidR="00301C9D" w:rsidRPr="00301C9D" w:rsidRDefault="00301C9D" w:rsidP="00F90D3E">
      <w:pPr>
        <w:jc w:val="both"/>
        <w:rPr>
          <w:rFonts w:ascii="Arial" w:hAnsi="Arial" w:cs="Arial"/>
          <w:iCs/>
          <w:sz w:val="24"/>
          <w:szCs w:val="24"/>
          <w:u w:val="single"/>
        </w:rPr>
      </w:pPr>
    </w:p>
    <w:p w14:paraId="3420430E" w14:textId="4323015D" w:rsidR="00301C9D" w:rsidRPr="00301C9D" w:rsidRDefault="00301C9D" w:rsidP="00F90D3E">
      <w:pPr>
        <w:jc w:val="both"/>
        <w:rPr>
          <w:rFonts w:ascii="Arial" w:hAnsi="Arial" w:cs="Arial"/>
          <w:iCs/>
          <w:sz w:val="24"/>
          <w:szCs w:val="24"/>
        </w:rPr>
      </w:pPr>
      <w:r w:rsidRPr="00301C9D">
        <w:rPr>
          <w:rFonts w:ascii="Arial" w:hAnsi="Arial" w:cs="Arial"/>
          <w:iCs/>
          <w:sz w:val="24"/>
          <w:szCs w:val="24"/>
        </w:rPr>
        <w:t>Les offres seront analysées en amont des candidatures. En application de l’article R 2144-3 du Code de la Commande Publique, la vérification des candidatures ne s’effectuera que pour les candidats ou pour les membres du groupement qui devraient être attributaires d</w:t>
      </w:r>
      <w:r w:rsidR="00EF0242">
        <w:rPr>
          <w:rFonts w:ascii="Arial" w:hAnsi="Arial" w:cs="Arial"/>
          <w:iCs/>
          <w:sz w:val="24"/>
          <w:szCs w:val="24"/>
        </w:rPr>
        <w:t>u</w:t>
      </w:r>
      <w:r w:rsidRPr="00301C9D">
        <w:rPr>
          <w:rFonts w:ascii="Arial" w:hAnsi="Arial" w:cs="Arial"/>
          <w:iCs/>
          <w:sz w:val="24"/>
          <w:szCs w:val="24"/>
        </w:rPr>
        <w:t xml:space="preserve"> marché. Si le dossier de candidature des incomplet, MBFC se réserve la possibilité de le faire compléter. Si le candidat ne satisfait pas aux conditions de participation, il sera fait application de l’article R 2144-7 du Code de la Commande Publique.</w:t>
      </w:r>
    </w:p>
    <w:p w14:paraId="38EEF0D1" w14:textId="77777777" w:rsidR="00EF0242" w:rsidRDefault="00EF0242" w:rsidP="00F90D3E">
      <w:pPr>
        <w:jc w:val="both"/>
        <w:rPr>
          <w:rFonts w:ascii="Arial" w:hAnsi="Arial" w:cs="Arial"/>
          <w:iCs/>
          <w:sz w:val="24"/>
          <w:szCs w:val="24"/>
        </w:rPr>
      </w:pPr>
    </w:p>
    <w:p w14:paraId="54B933D3" w14:textId="30F8194A" w:rsidR="00301C9D" w:rsidRPr="00301C9D" w:rsidRDefault="00301C9D" w:rsidP="00F90D3E">
      <w:pPr>
        <w:jc w:val="both"/>
        <w:rPr>
          <w:rFonts w:ascii="Arial" w:hAnsi="Arial" w:cs="Arial"/>
          <w:iCs/>
          <w:sz w:val="24"/>
          <w:szCs w:val="24"/>
        </w:rPr>
      </w:pPr>
      <w:r w:rsidRPr="00301C9D">
        <w:rPr>
          <w:rFonts w:ascii="Arial" w:hAnsi="Arial" w:cs="Arial"/>
          <w:iCs/>
          <w:sz w:val="24"/>
          <w:szCs w:val="24"/>
        </w:rPr>
        <w:t>5.1 – Présentation des candidatures</w:t>
      </w:r>
    </w:p>
    <w:p w14:paraId="6005F7E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offres des candidats seront entièrement rédigées en langue française et exprimées en Euros. Si les offres des candidats sont rédigées dans une autre langue, elles doivent être accompagnées d’une traduction en français, cette traduction doit concerner l’ensemble des documents remis dans l’offre.</w:t>
      </w:r>
    </w:p>
    <w:p w14:paraId="60050381"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Conformément à l’article R2142-1 du CCP, chaque candidat aura à produire les pièces suivantes :</w:t>
      </w:r>
    </w:p>
    <w:p w14:paraId="3B6465D9" w14:textId="77777777" w:rsidR="00301C9D" w:rsidRPr="00301C9D" w:rsidRDefault="00301C9D" w:rsidP="00301C9D">
      <w:pPr>
        <w:rPr>
          <w:rFonts w:ascii="Arial" w:hAnsi="Arial" w:cs="Arial"/>
          <w:iCs/>
          <w:sz w:val="24"/>
          <w:szCs w:val="24"/>
          <w:u w:val="single"/>
        </w:rPr>
      </w:pPr>
    </w:p>
    <w:p w14:paraId="15A40496"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la situation juridique de l’entreprise :</w:t>
      </w:r>
    </w:p>
    <w:p w14:paraId="50509E4C"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6416CB82" w14:textId="77777777" w:rsidTr="00387213">
        <w:tc>
          <w:tcPr>
            <w:tcW w:w="8926" w:type="dxa"/>
            <w:shd w:val="clear" w:color="auto" w:fill="E2EFD9" w:themeFill="accent6" w:themeFillTint="33"/>
            <w:hideMark/>
          </w:tcPr>
          <w:p w14:paraId="3FD59F1A"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01458BF4"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3FE35E1C" w14:textId="77777777" w:rsidTr="00F90D3E">
        <w:tc>
          <w:tcPr>
            <w:tcW w:w="8926" w:type="dxa"/>
            <w:hideMark/>
          </w:tcPr>
          <w:p w14:paraId="598A191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sur l’honneur pour justifier que le candidat n’entre dans aucun des cas d’interdiction de soumissionner</w:t>
            </w:r>
          </w:p>
        </w:tc>
        <w:tc>
          <w:tcPr>
            <w:tcW w:w="1559" w:type="dxa"/>
            <w:hideMark/>
          </w:tcPr>
          <w:p w14:paraId="21F144A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Oui</w:t>
            </w:r>
          </w:p>
        </w:tc>
      </w:tr>
      <w:tr w:rsidR="00301C9D" w:rsidRPr="00301C9D" w14:paraId="065F3EEF" w14:textId="77777777" w:rsidTr="00F90D3E">
        <w:tc>
          <w:tcPr>
            <w:tcW w:w="8926" w:type="dxa"/>
            <w:hideMark/>
          </w:tcPr>
          <w:p w14:paraId="109E2EC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Copie du ou des jugements prononcés, si le candidat est en redressement judiciaire</w:t>
            </w:r>
          </w:p>
        </w:tc>
        <w:tc>
          <w:tcPr>
            <w:tcW w:w="1559" w:type="dxa"/>
            <w:hideMark/>
          </w:tcPr>
          <w:p w14:paraId="1F75D453"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046738CF" w14:textId="77777777" w:rsidTr="00F90D3E">
        <w:tc>
          <w:tcPr>
            <w:tcW w:w="8926" w:type="dxa"/>
            <w:hideMark/>
          </w:tcPr>
          <w:p w14:paraId="0EFE14F1"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Renseignements sur le respect de l’obligation d’emploi mentionnée aux articles L.  5212-1 à L. 5212-11 du Code du travail</w:t>
            </w:r>
          </w:p>
        </w:tc>
        <w:tc>
          <w:tcPr>
            <w:tcW w:w="1559" w:type="dxa"/>
            <w:hideMark/>
          </w:tcPr>
          <w:p w14:paraId="44762B48"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06FB13E7" w14:textId="77777777" w:rsidR="00301C9D" w:rsidRPr="00301C9D" w:rsidRDefault="00301C9D" w:rsidP="00301C9D">
      <w:pPr>
        <w:rPr>
          <w:rFonts w:ascii="Arial" w:hAnsi="Arial" w:cs="Arial"/>
          <w:iCs/>
          <w:sz w:val="24"/>
          <w:szCs w:val="24"/>
        </w:rPr>
      </w:pPr>
    </w:p>
    <w:p w14:paraId="693728F5" w14:textId="77777777" w:rsidR="00301C9D" w:rsidRPr="00301C9D" w:rsidRDefault="00301C9D" w:rsidP="00301C9D">
      <w:pPr>
        <w:rPr>
          <w:rFonts w:ascii="Arial" w:hAnsi="Arial" w:cs="Arial"/>
          <w:iCs/>
          <w:sz w:val="24"/>
          <w:szCs w:val="24"/>
        </w:rPr>
      </w:pPr>
    </w:p>
    <w:p w14:paraId="042B2702"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la capacité économique et financière de l’entreprise :</w:t>
      </w:r>
    </w:p>
    <w:p w14:paraId="06842FB4"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0A417FC9" w14:textId="77777777" w:rsidTr="00387213">
        <w:tc>
          <w:tcPr>
            <w:tcW w:w="8926" w:type="dxa"/>
            <w:shd w:val="clear" w:color="auto" w:fill="E2EFD9" w:themeFill="accent6" w:themeFillTint="33"/>
            <w:hideMark/>
          </w:tcPr>
          <w:p w14:paraId="1826B3CE"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1FCCAE25"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6CB68997" w14:textId="77777777" w:rsidTr="00F90D3E">
        <w:tc>
          <w:tcPr>
            <w:tcW w:w="8926" w:type="dxa"/>
            <w:hideMark/>
          </w:tcPr>
          <w:p w14:paraId="0DCFFA4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concernant le chiffre d’affaires global et le chiffre d’affaires concernant les prestations objet du contrat, réalisées au cours des trois derniers exercices disponibles</w:t>
            </w:r>
          </w:p>
        </w:tc>
        <w:tc>
          <w:tcPr>
            <w:tcW w:w="1559" w:type="dxa"/>
            <w:hideMark/>
          </w:tcPr>
          <w:p w14:paraId="7EC1D28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31C94C22" w14:textId="77777777" w:rsidR="00301C9D" w:rsidRPr="00301C9D" w:rsidRDefault="00301C9D" w:rsidP="00301C9D">
      <w:pPr>
        <w:rPr>
          <w:rFonts w:ascii="Arial" w:hAnsi="Arial" w:cs="Arial"/>
          <w:iCs/>
          <w:sz w:val="24"/>
          <w:szCs w:val="24"/>
        </w:rPr>
      </w:pPr>
    </w:p>
    <w:p w14:paraId="127A8BF2" w14:textId="77777777" w:rsidR="00301C9D" w:rsidRPr="00301C9D" w:rsidRDefault="00301C9D" w:rsidP="00301C9D">
      <w:pPr>
        <w:rPr>
          <w:rFonts w:ascii="Arial" w:hAnsi="Arial" w:cs="Arial"/>
          <w:iCs/>
          <w:sz w:val="24"/>
          <w:szCs w:val="24"/>
          <w:u w:val="single"/>
        </w:rPr>
      </w:pPr>
    </w:p>
    <w:p w14:paraId="0257835B"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les références et la capacité technique de l’entreprise :</w:t>
      </w:r>
    </w:p>
    <w:p w14:paraId="7256F5A0"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17051558" w14:textId="77777777" w:rsidTr="00387213">
        <w:tc>
          <w:tcPr>
            <w:tcW w:w="8926" w:type="dxa"/>
            <w:shd w:val="clear" w:color="auto" w:fill="E2EFD9" w:themeFill="accent6" w:themeFillTint="33"/>
            <w:hideMark/>
          </w:tcPr>
          <w:p w14:paraId="0D19E47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355EF5B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71C0B8F4" w14:textId="77777777" w:rsidTr="00F90D3E">
        <w:tc>
          <w:tcPr>
            <w:tcW w:w="8926" w:type="dxa"/>
            <w:hideMark/>
          </w:tcPr>
          <w:p w14:paraId="39109CB9"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indiquant les effectifs moyens annuels du candidat et l’importance du personnel d’encadrement pour chacune des trois dernières années</w:t>
            </w:r>
          </w:p>
        </w:tc>
        <w:tc>
          <w:tcPr>
            <w:tcW w:w="1559" w:type="dxa"/>
            <w:hideMark/>
          </w:tcPr>
          <w:p w14:paraId="4D59312F"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6BD2F83A" w14:textId="77777777" w:rsidTr="00F90D3E">
        <w:tc>
          <w:tcPr>
            <w:tcW w:w="8926" w:type="dxa"/>
            <w:hideMark/>
          </w:tcPr>
          <w:p w14:paraId="0984638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Liste des principales prestations effectuées au cours des trois dernières années, indiquant le montant, la date et le destinataire. Elles sont prouvées par des attestations du destinataire ou, à défaut, par une déclaration du candidat</w:t>
            </w:r>
          </w:p>
        </w:tc>
        <w:tc>
          <w:tcPr>
            <w:tcW w:w="1559" w:type="dxa"/>
            <w:hideMark/>
          </w:tcPr>
          <w:p w14:paraId="36EAE153"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7065F67C" w14:textId="77777777" w:rsidTr="00F90D3E">
        <w:tc>
          <w:tcPr>
            <w:tcW w:w="8926" w:type="dxa"/>
            <w:hideMark/>
          </w:tcPr>
          <w:p w14:paraId="1789C96D"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indiquant l’outillage, le matériel et l’équipement technique dont le candidat dispose pour la réalisation du contrat</w:t>
            </w:r>
          </w:p>
        </w:tc>
        <w:tc>
          <w:tcPr>
            <w:tcW w:w="1559" w:type="dxa"/>
            <w:hideMark/>
          </w:tcPr>
          <w:p w14:paraId="1C0113EC"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12ADE444" w14:textId="77777777" w:rsidR="00301C9D" w:rsidRPr="00301C9D" w:rsidRDefault="00301C9D" w:rsidP="00301C9D">
      <w:pPr>
        <w:rPr>
          <w:rFonts w:ascii="Arial" w:hAnsi="Arial" w:cs="Arial"/>
          <w:iCs/>
          <w:sz w:val="24"/>
          <w:szCs w:val="24"/>
        </w:rPr>
      </w:pPr>
    </w:p>
    <w:p w14:paraId="341AC9DD" w14:textId="77777777" w:rsidR="00301C9D" w:rsidRPr="00301C9D" w:rsidRDefault="00301C9D" w:rsidP="00301C9D">
      <w:pPr>
        <w:rPr>
          <w:rFonts w:ascii="Arial" w:hAnsi="Arial" w:cs="Arial"/>
          <w:iCs/>
          <w:sz w:val="24"/>
          <w:szCs w:val="24"/>
        </w:rPr>
      </w:pPr>
    </w:p>
    <w:p w14:paraId="02BEEFD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présenter leur candidature, les candidats peuvent utiliser les formulaires DC1 (lettre de candidature) et DC2 (déclaration du candidat). Ces documents sont disponibles gratuitement sur le site </w:t>
      </w:r>
      <w:hyperlink r:id="rId8" w:history="1">
        <w:r w:rsidRPr="00301C9D">
          <w:rPr>
            <w:rStyle w:val="Lienhypertexte"/>
            <w:rFonts w:ascii="Arial" w:hAnsi="Arial" w:cs="Arial"/>
            <w:iCs/>
            <w:sz w:val="24"/>
            <w:szCs w:val="24"/>
          </w:rPr>
          <w:t>www.economie.gouv.fr</w:t>
        </w:r>
      </w:hyperlink>
    </w:p>
    <w:p w14:paraId="7204BD2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Ils peuvent aussi utiliser le Document Unique de Marché Européen (DUME)</w:t>
      </w:r>
    </w:p>
    <w:p w14:paraId="3ADAB45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justifier des capacités professionnelles et financières d’autres opérateurs économiques sur lesquels il s’appuie pour présenter sa candidature, le candidat produit les mêmes documents concernant cet opérateur économique que ceux qui lui sont exigés par l’entité adjudicatrice. </w:t>
      </w:r>
    </w:p>
    <w:p w14:paraId="585945A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En outre pour justifier qu’il dispose des capacités techniques pour réaliser les prestations demandées ; le candidat fournit un mémoire technique rédigé, au travers duquel il s’engage sur :</w:t>
      </w:r>
    </w:p>
    <w:p w14:paraId="73D2EFA9"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et organisation qu’il envisage de mettre en œuvre pour satisfaire aux exigences du marché, et notamment à garantir l’exécution du service,</w:t>
      </w:r>
    </w:p>
    <w:p w14:paraId="7E412339"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matériels affectés à l’exécution du marché,</w:t>
      </w:r>
    </w:p>
    <w:p w14:paraId="23F1333A"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humains dédiés à l’exécution du marché,</w:t>
      </w:r>
    </w:p>
    <w:p w14:paraId="2C458F73" w14:textId="77777777" w:rsidR="00301C9D" w:rsidRPr="00301C9D" w:rsidRDefault="00301C9D" w:rsidP="00F90D3E">
      <w:pPr>
        <w:jc w:val="both"/>
        <w:rPr>
          <w:rFonts w:ascii="Arial" w:hAnsi="Arial" w:cs="Arial"/>
          <w:iCs/>
          <w:sz w:val="24"/>
          <w:szCs w:val="24"/>
        </w:rPr>
      </w:pPr>
    </w:p>
    <w:p w14:paraId="3A606712" w14:textId="0052FC13" w:rsidR="00301C9D" w:rsidRPr="00301C9D" w:rsidRDefault="00301C9D" w:rsidP="00F90D3E">
      <w:pPr>
        <w:jc w:val="both"/>
        <w:rPr>
          <w:rFonts w:ascii="Arial" w:hAnsi="Arial" w:cs="Arial"/>
          <w:iCs/>
          <w:sz w:val="24"/>
          <w:szCs w:val="24"/>
        </w:rPr>
      </w:pPr>
      <w:r w:rsidRPr="00301C9D">
        <w:rPr>
          <w:rFonts w:ascii="Arial" w:hAnsi="Arial" w:cs="Arial"/>
          <w:iCs/>
          <w:sz w:val="24"/>
          <w:szCs w:val="24"/>
        </w:rPr>
        <w:t>5.2 – Présentation des offres</w:t>
      </w:r>
    </w:p>
    <w:p w14:paraId="1F5EF6E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Chaque candidat aura à produire un projet de marché comprenant les pièces suivantes, paraphées, datées et signées par lui :</w:t>
      </w:r>
    </w:p>
    <w:p w14:paraId="1933D6B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L’AE (acte d’engagement), à compléter par le candidat</w:t>
      </w:r>
    </w:p>
    <w:p w14:paraId="74BFE9B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BP, (bordereau des prix), à compléter par le candidat</w:t>
      </w:r>
    </w:p>
    <w:p w14:paraId="0174F74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CCAP, (cahier des clauses administratives particulières) à accepter sans modification</w:t>
      </w:r>
    </w:p>
    <w:p w14:paraId="7F3F3FD2" w14:textId="27E3F1E9" w:rsidR="00301C9D" w:rsidRPr="00301C9D" w:rsidRDefault="00301C9D" w:rsidP="00F90D3E">
      <w:pPr>
        <w:jc w:val="both"/>
        <w:rPr>
          <w:rFonts w:ascii="Arial" w:hAnsi="Arial" w:cs="Arial"/>
          <w:iCs/>
          <w:sz w:val="24"/>
          <w:szCs w:val="24"/>
        </w:rPr>
      </w:pPr>
      <w:r w:rsidRPr="00301C9D">
        <w:rPr>
          <w:rFonts w:ascii="Arial" w:hAnsi="Arial" w:cs="Arial"/>
          <w:iCs/>
          <w:sz w:val="24"/>
          <w:szCs w:val="24"/>
        </w:rPr>
        <w:t>- Le CCTP, (cahier des clauses techniques particulières) et ses annexes à accepter sans modification</w:t>
      </w:r>
      <w:r w:rsidR="00DD0FD7">
        <w:rPr>
          <w:rFonts w:ascii="Arial" w:hAnsi="Arial" w:cs="Arial"/>
          <w:iCs/>
          <w:sz w:val="24"/>
          <w:szCs w:val="24"/>
        </w:rPr>
        <w:t>.</w:t>
      </w:r>
    </w:p>
    <w:p w14:paraId="3880641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Mémoire technique rédigé par le candidat qui devra réponde aux exigences présentées dans le CCTP.</w:t>
      </w:r>
    </w:p>
    <w:p w14:paraId="308D5F1D" w14:textId="77777777" w:rsidR="00301C9D" w:rsidRPr="00301C9D" w:rsidRDefault="00301C9D" w:rsidP="00F90D3E">
      <w:pPr>
        <w:jc w:val="both"/>
        <w:rPr>
          <w:rFonts w:ascii="Arial" w:hAnsi="Arial" w:cs="Arial"/>
          <w:iCs/>
          <w:sz w:val="24"/>
          <w:szCs w:val="24"/>
        </w:rPr>
      </w:pPr>
    </w:p>
    <w:p w14:paraId="5AA72F8A" w14:textId="0A9D13AA"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 5.3 – Conditions d’envoi et de remise des plis</w:t>
      </w:r>
    </w:p>
    <w:p w14:paraId="5AD7B13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plis devront parvenir à destination avant la date et l’heure limites de réception des offres indiquées sur la page de garde du présent document.</w:t>
      </w:r>
    </w:p>
    <w:p w14:paraId="1FB6CDB9" w14:textId="77777777" w:rsidR="00301C9D" w:rsidRPr="00301C9D" w:rsidRDefault="00301C9D" w:rsidP="00301C9D">
      <w:pPr>
        <w:rPr>
          <w:rFonts w:ascii="Arial" w:hAnsi="Arial" w:cs="Arial"/>
          <w:iCs/>
          <w:sz w:val="24"/>
          <w:szCs w:val="24"/>
        </w:rPr>
      </w:pPr>
    </w:p>
    <w:p w14:paraId="42FEE8E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La transmission des documents par voie électronique est effectuée sur le profil d’acheteur du pouvoir adjudicateur, à l’adresse URL suivante : </w:t>
      </w:r>
      <w:hyperlink r:id="rId9" w:tooltip="http://mobilitesbfc.fr/marches-publics/" w:history="1">
        <w:r w:rsidRPr="00301C9D">
          <w:rPr>
            <w:rStyle w:val="Lienhypertexte"/>
            <w:rFonts w:ascii="Arial" w:hAnsi="Arial" w:cs="Arial"/>
            <w:iCs/>
            <w:sz w:val="24"/>
            <w:szCs w:val="24"/>
          </w:rPr>
          <w:t>http://mobilitesbfc.fr/marches-publics/</w:t>
        </w:r>
      </w:hyperlink>
    </w:p>
    <w:p w14:paraId="4839D6A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La transmission des offres sur un support physique électronique (CD-Rom, clé USB…) est également autorisée. Seule la transmission sur documents papier n’est pas autorisée.</w:t>
      </w:r>
    </w:p>
    <w:p w14:paraId="6DEDDF92" w14:textId="77777777" w:rsidR="00301C9D" w:rsidRPr="00301C9D" w:rsidRDefault="00301C9D" w:rsidP="00F90D3E">
      <w:pPr>
        <w:jc w:val="both"/>
        <w:rPr>
          <w:rFonts w:ascii="Arial" w:hAnsi="Arial" w:cs="Arial"/>
          <w:iCs/>
          <w:sz w:val="24"/>
          <w:szCs w:val="24"/>
        </w:rPr>
      </w:pPr>
    </w:p>
    <w:p w14:paraId="59A6E8B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choix de mode de transmission est global et irréversible. Les candidats doivent appliquer le même mode de transmission à l’ensemble des documents transmis.</w:t>
      </w:r>
    </w:p>
    <w:p w14:paraId="733B6882" w14:textId="77777777" w:rsidR="00301C9D" w:rsidRPr="00301C9D" w:rsidRDefault="00301C9D" w:rsidP="00F90D3E">
      <w:pPr>
        <w:jc w:val="both"/>
        <w:rPr>
          <w:rFonts w:ascii="Arial" w:hAnsi="Arial" w:cs="Arial"/>
          <w:iCs/>
          <w:sz w:val="24"/>
          <w:szCs w:val="24"/>
        </w:rPr>
      </w:pPr>
    </w:p>
    <w:p w14:paraId="492538DD" w14:textId="791AB1C8" w:rsidR="00301C9D" w:rsidRPr="00301C9D" w:rsidRDefault="00301C9D" w:rsidP="00F90D3E">
      <w:pPr>
        <w:jc w:val="both"/>
        <w:rPr>
          <w:rFonts w:ascii="Arial" w:hAnsi="Arial" w:cs="Arial"/>
          <w:iCs/>
          <w:sz w:val="24"/>
          <w:szCs w:val="24"/>
        </w:rPr>
      </w:pPr>
      <w:r w:rsidRPr="00301C9D">
        <w:rPr>
          <w:rFonts w:ascii="Arial" w:hAnsi="Arial" w:cs="Arial"/>
          <w:iCs/>
          <w:sz w:val="24"/>
          <w:szCs w:val="24"/>
        </w:rPr>
        <w:t>Chaque transmission fera l’objet d’une date certaine de réception et d’un accusé de réception électronique. A ce titre, le fuseau horaire de référence est celui de (GMT+</w:t>
      </w:r>
      <w:proofErr w:type="gramStart"/>
      <w:r w:rsidR="00EF0242" w:rsidRPr="00301C9D">
        <w:rPr>
          <w:rFonts w:ascii="Arial" w:hAnsi="Arial" w:cs="Arial"/>
          <w:iCs/>
          <w:sz w:val="24"/>
          <w:szCs w:val="24"/>
        </w:rPr>
        <w:t>01:</w:t>
      </w:r>
      <w:proofErr w:type="gramEnd"/>
      <w:r w:rsidRPr="00301C9D">
        <w:rPr>
          <w:rFonts w:ascii="Arial" w:hAnsi="Arial" w:cs="Arial"/>
          <w:iCs/>
          <w:sz w:val="24"/>
          <w:szCs w:val="24"/>
        </w:rPr>
        <w:t>00) Paris Bruxelles, Copenhague, Madrid. Le pli sera considéré « hors délai » si le téléchargement se termine après la date et l’heure limites de réception des offres.</w:t>
      </w:r>
    </w:p>
    <w:p w14:paraId="34035705" w14:textId="77777777" w:rsidR="00301C9D" w:rsidRPr="00301C9D" w:rsidRDefault="00301C9D" w:rsidP="00F90D3E">
      <w:pPr>
        <w:jc w:val="both"/>
        <w:rPr>
          <w:rFonts w:ascii="Arial" w:hAnsi="Arial" w:cs="Arial"/>
          <w:iCs/>
          <w:sz w:val="24"/>
          <w:szCs w:val="24"/>
        </w:rPr>
      </w:pPr>
    </w:p>
    <w:p w14:paraId="7F2E216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Si une nouvelle offre est envoyée par voie électronique par le même candidat, celle-ci annule et remplace l’offre précédente.</w:t>
      </w:r>
    </w:p>
    <w:p w14:paraId="27C423F1" w14:textId="77777777" w:rsidR="00301C9D" w:rsidRPr="00301C9D" w:rsidRDefault="00301C9D" w:rsidP="00F90D3E">
      <w:pPr>
        <w:jc w:val="both"/>
        <w:rPr>
          <w:rFonts w:ascii="Arial" w:hAnsi="Arial" w:cs="Arial"/>
          <w:iCs/>
          <w:sz w:val="24"/>
          <w:szCs w:val="24"/>
        </w:rPr>
      </w:pPr>
    </w:p>
    <w:p w14:paraId="2AA39EF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L’offre peut être doublée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 Les fichiers devront être transmis dans des formats largement disponibles : Word, Excel, PDF…</w:t>
      </w:r>
    </w:p>
    <w:p w14:paraId="6215DEA4" w14:textId="77777777" w:rsidR="00301C9D" w:rsidRPr="00301C9D" w:rsidRDefault="00301C9D" w:rsidP="00F90D3E">
      <w:pPr>
        <w:jc w:val="both"/>
        <w:rPr>
          <w:rFonts w:ascii="Arial" w:hAnsi="Arial" w:cs="Arial"/>
          <w:iCs/>
          <w:sz w:val="24"/>
          <w:szCs w:val="24"/>
        </w:rPr>
      </w:pPr>
    </w:p>
    <w:p w14:paraId="7C0B17E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Chaque pièce pour laquelle une signature est exigée doit faire l’objet d’une signature électronique individuelle et conforme au format XAdES, </w:t>
      </w:r>
      <w:proofErr w:type="spellStart"/>
      <w:r w:rsidRPr="00301C9D">
        <w:rPr>
          <w:rFonts w:ascii="Arial" w:hAnsi="Arial" w:cs="Arial"/>
          <w:iCs/>
          <w:sz w:val="24"/>
          <w:szCs w:val="24"/>
        </w:rPr>
        <w:t>CAdES</w:t>
      </w:r>
      <w:proofErr w:type="spellEnd"/>
      <w:r w:rsidRPr="00301C9D">
        <w:rPr>
          <w:rFonts w:ascii="Arial" w:hAnsi="Arial" w:cs="Arial"/>
          <w:iCs/>
          <w:sz w:val="24"/>
          <w:szCs w:val="24"/>
        </w:rPr>
        <w:t xml:space="preserve"> ou </w:t>
      </w:r>
      <w:proofErr w:type="spellStart"/>
      <w:r w:rsidRPr="00301C9D">
        <w:rPr>
          <w:rFonts w:ascii="Arial" w:hAnsi="Arial" w:cs="Arial"/>
          <w:iCs/>
          <w:sz w:val="24"/>
          <w:szCs w:val="24"/>
        </w:rPr>
        <w:t>PAdES</w:t>
      </w:r>
      <w:proofErr w:type="spellEnd"/>
      <w:r w:rsidRPr="00301C9D">
        <w:rPr>
          <w:rFonts w:ascii="Arial" w:hAnsi="Arial" w:cs="Arial"/>
          <w:iCs/>
          <w:sz w:val="24"/>
          <w:szCs w:val="24"/>
        </w:rPr>
        <w:t>. La seule signature électronique du pli n’emporte pas valeur d’engagement du candidat.</w:t>
      </w:r>
    </w:p>
    <w:p w14:paraId="50A139C8" w14:textId="77777777" w:rsidR="00301C9D" w:rsidRPr="00301C9D" w:rsidRDefault="00301C9D" w:rsidP="00F90D3E">
      <w:pPr>
        <w:jc w:val="both"/>
        <w:rPr>
          <w:rFonts w:ascii="Arial" w:hAnsi="Arial" w:cs="Arial"/>
          <w:iCs/>
          <w:sz w:val="24"/>
          <w:szCs w:val="24"/>
        </w:rPr>
      </w:pPr>
    </w:p>
    <w:p w14:paraId="54329C7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niveau de sécurité requis pour le certificat de signature électronique est le niveau (**) du RGS. Les certificats RGS (Référentiel Général de Sécurité) sont référencés dans une liste de confiance française (</w:t>
      </w:r>
      <w:hyperlink r:id="rId10" w:history="1">
        <w:r w:rsidRPr="00301C9D">
          <w:rPr>
            <w:rStyle w:val="Lienhypertexte"/>
            <w:rFonts w:ascii="Arial" w:hAnsi="Arial" w:cs="Arial"/>
            <w:iCs/>
            <w:sz w:val="24"/>
            <w:szCs w:val="24"/>
          </w:rPr>
          <w:t>http://references.modernisation.gouv.fr</w:t>
        </w:r>
      </w:hyperlink>
      <w:r w:rsidRPr="00301C9D">
        <w:rPr>
          <w:rFonts w:ascii="Arial" w:hAnsi="Arial" w:cs="Arial"/>
          <w:iCs/>
          <w:sz w:val="24"/>
          <w:szCs w:val="24"/>
        </w:rPr>
        <w:t>) ou dans la seule liste de confiance d’un autre Etat-membre de l’Union Européenne.</w:t>
      </w:r>
    </w:p>
    <w:p w14:paraId="72CFD761" w14:textId="4F13D842" w:rsidR="00301C9D" w:rsidRPr="00301C9D" w:rsidRDefault="00301C9D" w:rsidP="00F90D3E">
      <w:pPr>
        <w:jc w:val="both"/>
        <w:rPr>
          <w:rFonts w:ascii="Arial" w:hAnsi="Arial" w:cs="Arial"/>
          <w:iCs/>
          <w:sz w:val="24"/>
          <w:szCs w:val="24"/>
        </w:rPr>
      </w:pPr>
      <w:r w:rsidRPr="00301C9D">
        <w:rPr>
          <w:rFonts w:ascii="Arial" w:hAnsi="Arial" w:cs="Arial"/>
          <w:iCs/>
          <w:sz w:val="24"/>
          <w:szCs w:val="24"/>
        </w:rPr>
        <w:t>Toutefois, le candidat est libre d’utiliser le certificat de son choix si celui-ci est conforme aux obligations minimales résultant du RGS. Dans ce cas, il doit transmettre tous les éléments nécessaires à la vérification de conformité.</w:t>
      </w:r>
    </w:p>
    <w:p w14:paraId="2A869EE6" w14:textId="77777777" w:rsidR="00301C9D" w:rsidRPr="00301C9D" w:rsidRDefault="00301C9D" w:rsidP="00F90D3E">
      <w:pPr>
        <w:jc w:val="both"/>
        <w:rPr>
          <w:rFonts w:ascii="Arial" w:hAnsi="Arial" w:cs="Arial"/>
          <w:iCs/>
          <w:sz w:val="24"/>
          <w:szCs w:val="24"/>
        </w:rPr>
      </w:pPr>
    </w:p>
    <w:p w14:paraId="098A9E5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documents devront être préalablement traités par les candidats par un anti-virus régulièrement mis à jour. Tout document contenant un virus informatique fera l’objet d’un archivage de sécurité et sera réputé n’avoir jamais été reçu. Le candidat concerné sera informé.</w:t>
      </w:r>
    </w:p>
    <w:p w14:paraId="25EA5A8F" w14:textId="77777777" w:rsidR="00301C9D" w:rsidRPr="00301C9D" w:rsidRDefault="00301C9D" w:rsidP="00F90D3E">
      <w:pPr>
        <w:jc w:val="both"/>
        <w:rPr>
          <w:rFonts w:ascii="Arial" w:hAnsi="Arial" w:cs="Arial"/>
          <w:iCs/>
          <w:sz w:val="24"/>
          <w:szCs w:val="24"/>
        </w:rPr>
      </w:pPr>
    </w:p>
    <w:p w14:paraId="2AA0F4B2"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Après attribution, les candidats sont informés que l’offre électronique retenue sera transformée en offre papier. Les frais d’accès au réseau et de recours à la signature électronique sont à la charge de candidats.</w:t>
      </w:r>
    </w:p>
    <w:p w14:paraId="7BD814D8" w14:textId="77777777" w:rsidR="00301C9D" w:rsidRPr="00301C9D" w:rsidRDefault="00301C9D" w:rsidP="00F90D3E">
      <w:pPr>
        <w:jc w:val="both"/>
        <w:rPr>
          <w:rFonts w:ascii="Arial" w:hAnsi="Arial" w:cs="Arial"/>
          <w:iCs/>
          <w:sz w:val="24"/>
          <w:szCs w:val="24"/>
          <w:u w:val="single"/>
        </w:rPr>
      </w:pPr>
    </w:p>
    <w:p w14:paraId="2BA4ADE9" w14:textId="77777777" w:rsidR="00301C9D" w:rsidRPr="00301C9D" w:rsidRDefault="00301C9D" w:rsidP="00F90D3E">
      <w:pPr>
        <w:jc w:val="both"/>
        <w:rPr>
          <w:rFonts w:ascii="Arial" w:hAnsi="Arial" w:cs="Arial"/>
          <w:iCs/>
          <w:sz w:val="24"/>
          <w:szCs w:val="24"/>
          <w:u w:val="single"/>
        </w:rPr>
      </w:pPr>
      <w:r w:rsidRPr="00301C9D">
        <w:rPr>
          <w:rFonts w:ascii="Arial" w:hAnsi="Arial" w:cs="Arial"/>
          <w:iCs/>
          <w:sz w:val="24"/>
          <w:szCs w:val="24"/>
          <w:u w:val="single"/>
        </w:rPr>
        <w:t>6 : Examen des offres</w:t>
      </w:r>
    </w:p>
    <w:p w14:paraId="67B09ED5" w14:textId="77777777" w:rsidR="00301C9D" w:rsidRPr="00301C9D" w:rsidRDefault="00301C9D" w:rsidP="00F90D3E">
      <w:pPr>
        <w:jc w:val="both"/>
        <w:rPr>
          <w:rFonts w:ascii="Arial" w:hAnsi="Arial" w:cs="Arial"/>
          <w:iCs/>
          <w:sz w:val="24"/>
          <w:szCs w:val="24"/>
        </w:rPr>
      </w:pPr>
    </w:p>
    <w:p w14:paraId="7DCA2D63"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6.1 – Attribution du marché </w:t>
      </w:r>
    </w:p>
    <w:p w14:paraId="503C3144"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 jugement des offres sera effectué dans les conditions prévues à l’article R2152-7 du CCP, et donnera lieu à un classement des offres. L’attention des candidats est attirée sur le fait que toute offre irrégulière pourra faire l’objet d’une demande de régularisation. En revanche, toute offre inacceptable, inappropriée ou anormalement basse sera éliminée. </w:t>
      </w:r>
    </w:p>
    <w:p w14:paraId="303AD2BF" w14:textId="77777777" w:rsidR="00301C9D" w:rsidRPr="00301C9D" w:rsidRDefault="00301C9D" w:rsidP="00F90D3E">
      <w:pPr>
        <w:jc w:val="both"/>
        <w:rPr>
          <w:rFonts w:ascii="Arial" w:hAnsi="Arial" w:cs="Arial"/>
          <w:iCs/>
          <w:sz w:val="24"/>
          <w:szCs w:val="24"/>
        </w:rPr>
      </w:pPr>
    </w:p>
    <w:p w14:paraId="5BB3C972"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RAPPEL :</w:t>
      </w:r>
    </w:p>
    <w:p w14:paraId="1B43EF03"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MBFC éliminera toute offre non conforme au cahier des charges</w:t>
      </w:r>
    </w:p>
    <w:p w14:paraId="1834FC57" w14:textId="77777777" w:rsidR="00301C9D" w:rsidRPr="00301C9D" w:rsidRDefault="00301C9D" w:rsidP="00F90D3E">
      <w:pPr>
        <w:jc w:val="both"/>
        <w:rPr>
          <w:rFonts w:ascii="Arial" w:hAnsi="Arial" w:cs="Arial"/>
          <w:iCs/>
          <w:sz w:val="24"/>
          <w:szCs w:val="24"/>
        </w:rPr>
      </w:pPr>
    </w:p>
    <w:p w14:paraId="43C15C9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6.2 – Jugement des offres</w:t>
      </w:r>
    </w:p>
    <w:p w14:paraId="6C08DAAC" w14:textId="643F8514"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MBFC, </w:t>
      </w:r>
      <w:r w:rsidR="00EF0242">
        <w:rPr>
          <w:rFonts w:ascii="Arial" w:hAnsi="Arial" w:cs="Arial"/>
          <w:iCs/>
          <w:sz w:val="24"/>
          <w:szCs w:val="24"/>
        </w:rPr>
        <w:t>l’acquisition</w:t>
      </w:r>
      <w:r w:rsidRPr="00301C9D">
        <w:rPr>
          <w:rFonts w:ascii="Arial" w:hAnsi="Arial" w:cs="Arial"/>
          <w:iCs/>
          <w:sz w:val="24"/>
          <w:szCs w:val="24"/>
        </w:rPr>
        <w:t xml:space="preserve"> de véhicules de transport en commun s’inscrit dans une durée longue, pouvant aller jusqu’à 15 ans. Cela nécessite de prévoir les structures de maintenance pour assurer la mise en œuvre d’un entretien couteux, avec des interventions programmées, mais aussi ponctuelles liées à des remplacements de pièces d’usure, des pannes, des accidents, des réparations diverses tant mécaniques que carrosserie. </w:t>
      </w:r>
    </w:p>
    <w:p w14:paraId="2AB9FAF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besoins de la SPL MBFC exposés au préambule du CCTP portent sur :</w:t>
      </w:r>
    </w:p>
    <w:p w14:paraId="3BDC85CE" w14:textId="77777777" w:rsidR="00301C9D" w:rsidRPr="00301C9D" w:rsidRDefault="00301C9D" w:rsidP="00F90D3E">
      <w:pPr>
        <w:jc w:val="both"/>
        <w:rPr>
          <w:rFonts w:ascii="Arial" w:hAnsi="Arial" w:cs="Arial"/>
          <w:iCs/>
          <w:sz w:val="24"/>
          <w:szCs w:val="24"/>
        </w:rPr>
      </w:pPr>
    </w:p>
    <w:p w14:paraId="160607A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les coûts liés à l’acquisition et à la cession en fin d’exploitation</w:t>
      </w:r>
    </w:p>
    <w:p w14:paraId="00606704"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les coûts directs et indirects liés à la maintenance. Pour cela seront pris en compte la conception, le diagnostic et l’accessibilité des organes, le réseau du constructeur, la disponibilité, les délais et modalités de livraison des pièces détachées,</w:t>
      </w:r>
    </w:p>
    <w:p w14:paraId="38651E82" w14:textId="77777777" w:rsidR="00301C9D" w:rsidRPr="00301C9D" w:rsidRDefault="00301C9D" w:rsidP="00F90D3E">
      <w:pPr>
        <w:jc w:val="both"/>
        <w:rPr>
          <w:rFonts w:ascii="Arial" w:hAnsi="Arial" w:cs="Arial"/>
          <w:iCs/>
          <w:sz w:val="24"/>
          <w:szCs w:val="24"/>
        </w:rPr>
      </w:pPr>
    </w:p>
    <w:p w14:paraId="1A50275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Les critères pondérés retenus pour le jugement des offres (article R 2152-7 du CCP) traduisant les besoins spécifiques de la SPL MBFC exposés au préambule du CCTP sont ainsi détaillés : </w:t>
      </w:r>
    </w:p>
    <w:p w14:paraId="100216EA" w14:textId="77777777" w:rsidR="00301C9D" w:rsidRPr="00301C9D" w:rsidRDefault="00301C9D" w:rsidP="00F90D3E">
      <w:pPr>
        <w:jc w:val="both"/>
        <w:rPr>
          <w:rFonts w:ascii="Arial" w:hAnsi="Arial" w:cs="Arial"/>
          <w:iCs/>
          <w:sz w:val="24"/>
          <w:szCs w:val="24"/>
        </w:rPr>
      </w:pPr>
    </w:p>
    <w:p w14:paraId="3B35CE79" w14:textId="4C4C44D9" w:rsidR="00301C9D" w:rsidRPr="00301C9D" w:rsidRDefault="00301C9D" w:rsidP="00F90D3E">
      <w:pPr>
        <w:jc w:val="both"/>
        <w:rPr>
          <w:rFonts w:ascii="Arial" w:hAnsi="Arial" w:cs="Arial"/>
          <w:iCs/>
          <w:sz w:val="24"/>
          <w:szCs w:val="24"/>
        </w:rPr>
      </w:pPr>
      <w:r w:rsidRPr="00301C9D">
        <w:rPr>
          <w:rFonts w:ascii="Arial" w:hAnsi="Arial" w:cs="Arial"/>
          <w:iCs/>
          <w:sz w:val="24"/>
          <w:szCs w:val="24"/>
        </w:rPr>
        <w:t>Le coût financier (</w:t>
      </w:r>
      <w:r w:rsidR="006A4B66">
        <w:rPr>
          <w:rFonts w:ascii="Arial" w:hAnsi="Arial" w:cs="Arial"/>
          <w:iCs/>
          <w:sz w:val="24"/>
          <w:szCs w:val="24"/>
        </w:rPr>
        <w:t>40</w:t>
      </w:r>
      <w:r w:rsidRPr="00301C9D">
        <w:rPr>
          <w:rFonts w:ascii="Arial" w:hAnsi="Arial" w:cs="Arial"/>
          <w:iCs/>
          <w:sz w:val="24"/>
          <w:szCs w:val="24"/>
        </w:rPr>
        <w:t xml:space="preserve"> points) ainsi décomposé :</w:t>
      </w:r>
    </w:p>
    <w:p w14:paraId="1A3ECC07" w14:textId="3E60B582" w:rsidR="00301C9D" w:rsidRPr="00301C9D" w:rsidRDefault="008A66C7" w:rsidP="00F90D3E">
      <w:pPr>
        <w:numPr>
          <w:ilvl w:val="0"/>
          <w:numId w:val="4"/>
        </w:numPr>
        <w:jc w:val="both"/>
        <w:rPr>
          <w:rFonts w:ascii="Arial" w:hAnsi="Arial" w:cs="Arial"/>
          <w:iCs/>
          <w:sz w:val="24"/>
          <w:szCs w:val="24"/>
        </w:rPr>
      </w:pPr>
      <w:r>
        <w:rPr>
          <w:rFonts w:ascii="Arial" w:hAnsi="Arial" w:cs="Arial"/>
          <w:iCs/>
          <w:sz w:val="24"/>
          <w:szCs w:val="24"/>
        </w:rPr>
        <w:t>30</w:t>
      </w:r>
      <w:r w:rsidR="00301C9D" w:rsidRPr="00301C9D">
        <w:rPr>
          <w:rFonts w:ascii="Arial" w:hAnsi="Arial" w:cs="Arial"/>
          <w:iCs/>
          <w:sz w:val="24"/>
          <w:szCs w:val="24"/>
        </w:rPr>
        <w:t xml:space="preserve"> points pour le prix d’achat (HT)</w:t>
      </w:r>
    </w:p>
    <w:p w14:paraId="7625FABC" w14:textId="77777777" w:rsidR="00301C9D" w:rsidRPr="00301C9D" w:rsidRDefault="00301C9D" w:rsidP="00F90D3E">
      <w:pPr>
        <w:numPr>
          <w:ilvl w:val="0"/>
          <w:numId w:val="4"/>
        </w:numPr>
        <w:jc w:val="both"/>
        <w:rPr>
          <w:rFonts w:ascii="Arial" w:hAnsi="Arial" w:cs="Arial"/>
          <w:iCs/>
          <w:sz w:val="24"/>
          <w:szCs w:val="24"/>
        </w:rPr>
      </w:pPr>
      <w:r w:rsidRPr="00301C9D">
        <w:rPr>
          <w:rFonts w:ascii="Arial" w:hAnsi="Arial" w:cs="Arial"/>
          <w:iCs/>
          <w:sz w:val="24"/>
          <w:szCs w:val="24"/>
        </w:rPr>
        <w:t>10 points pour la valeur de revente</w:t>
      </w:r>
    </w:p>
    <w:p w14:paraId="2A110877" w14:textId="77777777" w:rsidR="00301C9D" w:rsidRPr="00301C9D" w:rsidRDefault="00301C9D" w:rsidP="00F90D3E">
      <w:pPr>
        <w:jc w:val="both"/>
        <w:rPr>
          <w:rFonts w:ascii="Arial" w:hAnsi="Arial" w:cs="Arial"/>
          <w:iCs/>
          <w:sz w:val="24"/>
          <w:szCs w:val="24"/>
        </w:rPr>
      </w:pPr>
    </w:p>
    <w:p w14:paraId="6A7E94F8" w14:textId="2A1271FE" w:rsidR="00301C9D" w:rsidRPr="00301C9D" w:rsidRDefault="00301C9D" w:rsidP="00F90D3E">
      <w:pPr>
        <w:jc w:val="both"/>
        <w:rPr>
          <w:rFonts w:ascii="Arial" w:hAnsi="Arial" w:cs="Arial"/>
          <w:iCs/>
          <w:sz w:val="24"/>
          <w:szCs w:val="24"/>
        </w:rPr>
      </w:pPr>
      <w:r w:rsidRPr="00301C9D">
        <w:rPr>
          <w:rFonts w:ascii="Arial" w:hAnsi="Arial" w:cs="Arial"/>
          <w:iCs/>
          <w:sz w:val="24"/>
          <w:szCs w:val="24"/>
        </w:rPr>
        <w:t>Les facilités de maintenance (</w:t>
      </w:r>
      <w:r w:rsidR="006A4B66">
        <w:rPr>
          <w:rFonts w:ascii="Arial" w:hAnsi="Arial" w:cs="Arial"/>
          <w:iCs/>
          <w:sz w:val="24"/>
          <w:szCs w:val="24"/>
        </w:rPr>
        <w:t>6</w:t>
      </w:r>
      <w:r w:rsidRPr="00301C9D">
        <w:rPr>
          <w:rFonts w:ascii="Arial" w:hAnsi="Arial" w:cs="Arial"/>
          <w:iCs/>
          <w:sz w:val="24"/>
          <w:szCs w:val="24"/>
        </w:rPr>
        <w:t>0 points) ainsi décomposées :</w:t>
      </w:r>
    </w:p>
    <w:p w14:paraId="1525E2D6" w14:textId="2DF6A875" w:rsidR="00301C9D" w:rsidRPr="00301C9D" w:rsidRDefault="006A4B66" w:rsidP="00F90D3E">
      <w:pPr>
        <w:numPr>
          <w:ilvl w:val="0"/>
          <w:numId w:val="4"/>
        </w:numPr>
        <w:jc w:val="both"/>
        <w:rPr>
          <w:rFonts w:ascii="Arial" w:hAnsi="Arial" w:cs="Arial"/>
          <w:iCs/>
          <w:sz w:val="24"/>
          <w:szCs w:val="24"/>
        </w:rPr>
      </w:pPr>
      <w:r>
        <w:rPr>
          <w:rFonts w:ascii="Arial" w:hAnsi="Arial" w:cs="Arial"/>
          <w:iCs/>
          <w:sz w:val="24"/>
          <w:szCs w:val="24"/>
        </w:rPr>
        <w:t>2</w:t>
      </w:r>
      <w:r w:rsidR="00301C9D" w:rsidRPr="00301C9D">
        <w:rPr>
          <w:rFonts w:ascii="Arial" w:hAnsi="Arial" w:cs="Arial"/>
          <w:iCs/>
          <w:sz w:val="24"/>
          <w:szCs w:val="24"/>
        </w:rPr>
        <w:t>0 points pour la conception du véhicule</w:t>
      </w:r>
      <w:r>
        <w:rPr>
          <w:rFonts w:ascii="Arial" w:hAnsi="Arial" w:cs="Arial"/>
          <w:iCs/>
          <w:sz w:val="24"/>
          <w:szCs w:val="24"/>
        </w:rPr>
        <w:t xml:space="preserve"> et </w:t>
      </w:r>
      <w:r w:rsidR="00462FCC">
        <w:rPr>
          <w:rFonts w:ascii="Arial" w:hAnsi="Arial" w:cs="Arial"/>
          <w:iCs/>
          <w:sz w:val="24"/>
          <w:szCs w:val="24"/>
        </w:rPr>
        <w:t>l’</w:t>
      </w:r>
      <w:r>
        <w:rPr>
          <w:rFonts w:ascii="Arial" w:hAnsi="Arial" w:cs="Arial"/>
          <w:iCs/>
          <w:sz w:val="24"/>
          <w:szCs w:val="24"/>
        </w:rPr>
        <w:t>accessibilité des organes</w:t>
      </w:r>
    </w:p>
    <w:p w14:paraId="408BB74A" w14:textId="7298035A" w:rsidR="00301C9D" w:rsidRPr="006A4B66" w:rsidRDefault="006A4B66" w:rsidP="00F90D3E">
      <w:pPr>
        <w:numPr>
          <w:ilvl w:val="0"/>
          <w:numId w:val="4"/>
        </w:numPr>
        <w:jc w:val="both"/>
        <w:rPr>
          <w:rFonts w:ascii="Arial" w:hAnsi="Arial" w:cs="Arial"/>
          <w:iCs/>
          <w:sz w:val="24"/>
          <w:szCs w:val="24"/>
        </w:rPr>
      </w:pPr>
      <w:r>
        <w:rPr>
          <w:rFonts w:ascii="Arial" w:hAnsi="Arial" w:cs="Arial"/>
          <w:iCs/>
          <w:sz w:val="24"/>
          <w:szCs w:val="24"/>
        </w:rPr>
        <w:t>2</w:t>
      </w:r>
      <w:r w:rsidR="00301C9D" w:rsidRPr="00301C9D">
        <w:rPr>
          <w:rFonts w:ascii="Arial" w:hAnsi="Arial" w:cs="Arial"/>
          <w:iCs/>
          <w:sz w:val="24"/>
          <w:szCs w:val="24"/>
        </w:rPr>
        <w:t>0 points pour la disponibilité</w:t>
      </w:r>
      <w:r>
        <w:rPr>
          <w:rFonts w:ascii="Arial" w:hAnsi="Arial" w:cs="Arial"/>
          <w:iCs/>
          <w:sz w:val="24"/>
          <w:szCs w:val="24"/>
        </w:rPr>
        <w:t xml:space="preserve">, </w:t>
      </w:r>
      <w:r w:rsidRPr="00301C9D">
        <w:rPr>
          <w:rFonts w:ascii="Arial" w:hAnsi="Arial" w:cs="Arial"/>
          <w:iCs/>
          <w:sz w:val="24"/>
          <w:szCs w:val="24"/>
        </w:rPr>
        <w:t>les délais et modalités de livraison</w:t>
      </w:r>
      <w:r w:rsidR="00301C9D" w:rsidRPr="00301C9D">
        <w:rPr>
          <w:rFonts w:ascii="Arial" w:hAnsi="Arial" w:cs="Arial"/>
          <w:iCs/>
          <w:sz w:val="24"/>
          <w:szCs w:val="24"/>
        </w:rPr>
        <w:t xml:space="preserve"> des pièces détachées</w:t>
      </w:r>
      <w:r>
        <w:rPr>
          <w:rFonts w:ascii="Arial" w:hAnsi="Arial" w:cs="Arial"/>
          <w:iCs/>
          <w:sz w:val="24"/>
          <w:szCs w:val="24"/>
        </w:rPr>
        <w:t>.</w:t>
      </w:r>
    </w:p>
    <w:p w14:paraId="7EF73514" w14:textId="77777777" w:rsidR="006A4B66" w:rsidRPr="00301C9D" w:rsidRDefault="006A4B66" w:rsidP="00F90D3E">
      <w:pPr>
        <w:numPr>
          <w:ilvl w:val="0"/>
          <w:numId w:val="4"/>
        </w:numPr>
        <w:jc w:val="both"/>
        <w:rPr>
          <w:rFonts w:ascii="Arial" w:hAnsi="Arial" w:cs="Arial"/>
          <w:iCs/>
          <w:sz w:val="24"/>
          <w:szCs w:val="24"/>
        </w:rPr>
      </w:pPr>
      <w:r>
        <w:rPr>
          <w:rFonts w:ascii="Arial" w:hAnsi="Arial" w:cs="Arial"/>
          <w:iCs/>
          <w:sz w:val="24"/>
          <w:szCs w:val="24"/>
        </w:rPr>
        <w:t>2</w:t>
      </w:r>
      <w:r w:rsidRPr="00301C9D">
        <w:rPr>
          <w:rFonts w:ascii="Arial" w:hAnsi="Arial" w:cs="Arial"/>
          <w:iCs/>
          <w:sz w:val="24"/>
          <w:szCs w:val="24"/>
        </w:rPr>
        <w:t>0 points pour l’appui réseau et dépannage</w:t>
      </w:r>
    </w:p>
    <w:p w14:paraId="7D349BE2" w14:textId="77777777" w:rsidR="00301C9D" w:rsidRPr="00301C9D" w:rsidRDefault="00301C9D" w:rsidP="00F90D3E">
      <w:pPr>
        <w:jc w:val="both"/>
        <w:rPr>
          <w:rFonts w:ascii="Arial" w:hAnsi="Arial" w:cs="Arial"/>
          <w:iCs/>
          <w:sz w:val="24"/>
          <w:szCs w:val="24"/>
        </w:rPr>
      </w:pPr>
    </w:p>
    <w:p w14:paraId="664D1AB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7 – Suite à donner à la consultation</w:t>
      </w:r>
    </w:p>
    <w:p w14:paraId="3706FB28" w14:textId="77777777" w:rsidR="00301C9D" w:rsidRPr="00301C9D" w:rsidRDefault="00301C9D" w:rsidP="00F90D3E">
      <w:pPr>
        <w:jc w:val="both"/>
        <w:rPr>
          <w:rFonts w:ascii="Arial" w:hAnsi="Arial" w:cs="Arial"/>
          <w:iCs/>
          <w:sz w:val="24"/>
          <w:szCs w:val="24"/>
        </w:rPr>
      </w:pPr>
    </w:p>
    <w:p w14:paraId="21DE001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L’offre la mieux classée sera retenue à titre provisoire en attendant que le ou les candidats produisent les certificats et attestations demandées ci-dessus. Le délai imparti par l’entité adjudicatrice pour remettre ces documents ne pourra être supérieur à 7 jours.</w:t>
      </w:r>
    </w:p>
    <w:p w14:paraId="6ACC5A11" w14:textId="77777777" w:rsidR="00301C9D" w:rsidRPr="00301C9D" w:rsidRDefault="00301C9D" w:rsidP="00F90D3E">
      <w:pPr>
        <w:jc w:val="both"/>
        <w:rPr>
          <w:rFonts w:ascii="Arial" w:hAnsi="Arial" w:cs="Arial"/>
          <w:iCs/>
          <w:sz w:val="24"/>
          <w:szCs w:val="24"/>
          <w:u w:val="single"/>
        </w:rPr>
      </w:pPr>
    </w:p>
    <w:p w14:paraId="3CA834CA" w14:textId="77777777" w:rsidR="00301C9D" w:rsidRPr="00301C9D" w:rsidRDefault="00301C9D" w:rsidP="00F90D3E">
      <w:pPr>
        <w:jc w:val="both"/>
        <w:rPr>
          <w:rFonts w:ascii="Arial" w:hAnsi="Arial" w:cs="Arial"/>
          <w:iCs/>
          <w:sz w:val="24"/>
          <w:szCs w:val="24"/>
          <w:u w:val="single"/>
        </w:rPr>
      </w:pPr>
      <w:r w:rsidRPr="00301C9D">
        <w:rPr>
          <w:rFonts w:ascii="Arial" w:hAnsi="Arial" w:cs="Arial"/>
          <w:iCs/>
          <w:sz w:val="24"/>
          <w:szCs w:val="24"/>
          <w:u w:val="single"/>
        </w:rPr>
        <w:t xml:space="preserve">8 : Adresses supplémentaires et points de contact </w:t>
      </w:r>
    </w:p>
    <w:p w14:paraId="1BFDF18B" w14:textId="77777777" w:rsidR="00301C9D" w:rsidRPr="00301C9D" w:rsidRDefault="00301C9D" w:rsidP="00F90D3E">
      <w:pPr>
        <w:jc w:val="both"/>
        <w:rPr>
          <w:rFonts w:ascii="Arial" w:hAnsi="Arial" w:cs="Arial"/>
          <w:iCs/>
          <w:sz w:val="24"/>
          <w:szCs w:val="24"/>
        </w:rPr>
      </w:pPr>
    </w:p>
    <w:p w14:paraId="066B5F9E" w14:textId="470808B7" w:rsidR="00EF0242" w:rsidRPr="00301C9D" w:rsidRDefault="00301C9D" w:rsidP="00EF0242">
      <w:pPr>
        <w:jc w:val="both"/>
        <w:rPr>
          <w:rFonts w:ascii="Arial" w:hAnsi="Arial" w:cs="Arial"/>
          <w:iCs/>
          <w:sz w:val="24"/>
          <w:szCs w:val="24"/>
        </w:rPr>
      </w:pPr>
      <w:r w:rsidRPr="00301C9D">
        <w:rPr>
          <w:rFonts w:ascii="Arial" w:hAnsi="Arial" w:cs="Arial"/>
          <w:iCs/>
          <w:sz w:val="24"/>
          <w:szCs w:val="24"/>
        </w:rPr>
        <w:t>Pour tout renseignement complémentaire concernant cette consultation, les candidats devront faire parvenir au plus tard 10 jours avant la date limite de réception des offres, une demande écrite à :</w:t>
      </w:r>
    </w:p>
    <w:p w14:paraId="1E48E3F0" w14:textId="77777777" w:rsidR="00301C9D" w:rsidRPr="00301C9D" w:rsidRDefault="00301C9D" w:rsidP="00EF0242">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301C9D" w:rsidRPr="00301C9D" w14:paraId="2DF09658" w14:textId="77777777" w:rsidTr="00EF0242">
        <w:tc>
          <w:tcPr>
            <w:tcW w:w="5240" w:type="dxa"/>
          </w:tcPr>
          <w:p w14:paraId="6D5D3405"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Renseignements administratifs </w:t>
            </w:r>
          </w:p>
          <w:p w14:paraId="2BA188B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Monsieur Thibaut Gathellier</w:t>
            </w:r>
          </w:p>
          <w:p w14:paraId="6F07D4A3"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Directeur Général</w:t>
            </w:r>
          </w:p>
          <w:p w14:paraId="1A755579"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1 rue Pierre Vernier</w:t>
            </w:r>
          </w:p>
          <w:p w14:paraId="225CB7E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25220 </w:t>
            </w:r>
            <w:proofErr w:type="spellStart"/>
            <w:r w:rsidRPr="00301C9D">
              <w:rPr>
                <w:rFonts w:ascii="Arial" w:hAnsi="Arial" w:cs="Arial"/>
                <w:iCs/>
                <w:sz w:val="24"/>
                <w:szCs w:val="24"/>
              </w:rPr>
              <w:t>Thise</w:t>
            </w:r>
            <w:proofErr w:type="spellEnd"/>
          </w:p>
          <w:p w14:paraId="5A090F69"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0384243307</w:t>
            </w:r>
          </w:p>
          <w:p w14:paraId="28A102D7"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Courriel :</w:t>
            </w:r>
          </w:p>
          <w:p w14:paraId="6D5CBBB2" w14:textId="1BA8543B" w:rsidR="00301C9D" w:rsidRPr="0066635B" w:rsidRDefault="00301C9D" w:rsidP="00EF0242">
            <w:pPr>
              <w:jc w:val="both"/>
              <w:rPr>
                <w:rFonts w:ascii="Arial" w:hAnsi="Arial" w:cs="Arial"/>
                <w:iCs/>
                <w:sz w:val="24"/>
                <w:szCs w:val="24"/>
              </w:rPr>
            </w:pPr>
            <w:hyperlink r:id="rId11" w:history="1">
              <w:r w:rsidRPr="00301C9D">
                <w:rPr>
                  <w:rStyle w:val="Lienhypertexte"/>
                  <w:rFonts w:ascii="Arial" w:hAnsi="Arial" w:cs="Arial"/>
                  <w:iCs/>
                  <w:sz w:val="24"/>
                  <w:szCs w:val="24"/>
                </w:rPr>
                <w:t>thibaut.gathellier@mobilitesbfc.fr</w:t>
              </w:r>
            </w:hyperlink>
          </w:p>
        </w:tc>
        <w:tc>
          <w:tcPr>
            <w:tcW w:w="5245" w:type="dxa"/>
          </w:tcPr>
          <w:p w14:paraId="199997E6"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Renseignements techniques</w:t>
            </w:r>
          </w:p>
          <w:p w14:paraId="34650C53"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Monsieur Thibaut Gathellier</w:t>
            </w:r>
          </w:p>
          <w:p w14:paraId="2396A7B7"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Directeur Général</w:t>
            </w:r>
          </w:p>
          <w:p w14:paraId="65ACEFF8"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1 rue Pierre Vernier</w:t>
            </w:r>
          </w:p>
          <w:p w14:paraId="367EEAC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25220 </w:t>
            </w:r>
            <w:proofErr w:type="spellStart"/>
            <w:r w:rsidRPr="00301C9D">
              <w:rPr>
                <w:rFonts w:ascii="Arial" w:hAnsi="Arial" w:cs="Arial"/>
                <w:iCs/>
                <w:sz w:val="24"/>
                <w:szCs w:val="24"/>
              </w:rPr>
              <w:t>Thise</w:t>
            </w:r>
            <w:proofErr w:type="spellEnd"/>
          </w:p>
          <w:p w14:paraId="3E021E3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0384243307</w:t>
            </w:r>
          </w:p>
          <w:p w14:paraId="724E5E8D"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Courriel :</w:t>
            </w:r>
          </w:p>
          <w:p w14:paraId="40772AD3" w14:textId="77777777" w:rsidR="00301C9D" w:rsidRDefault="00301C9D" w:rsidP="00EF0242">
            <w:pPr>
              <w:jc w:val="both"/>
            </w:pPr>
            <w:hyperlink r:id="rId12" w:history="1">
              <w:r w:rsidRPr="00301C9D">
                <w:rPr>
                  <w:rStyle w:val="Lienhypertexte"/>
                  <w:rFonts w:ascii="Arial" w:hAnsi="Arial" w:cs="Arial"/>
                  <w:iCs/>
                  <w:sz w:val="24"/>
                  <w:szCs w:val="24"/>
                </w:rPr>
                <w:t>thibaut.gathellier@mobilitesbfc.fr</w:t>
              </w:r>
            </w:hyperlink>
          </w:p>
          <w:p w14:paraId="403AE1AE" w14:textId="23B42218" w:rsidR="0066635B" w:rsidRPr="00301C9D" w:rsidRDefault="0066635B" w:rsidP="00EF0242">
            <w:pPr>
              <w:jc w:val="both"/>
              <w:rPr>
                <w:rFonts w:ascii="Arial" w:hAnsi="Arial" w:cs="Arial"/>
                <w:iCs/>
                <w:sz w:val="24"/>
                <w:szCs w:val="24"/>
              </w:rPr>
            </w:pPr>
          </w:p>
        </w:tc>
      </w:tr>
    </w:tbl>
    <w:p w14:paraId="6BB1E0D6" w14:textId="77777777" w:rsidR="00301C9D" w:rsidRPr="00301C9D" w:rsidRDefault="00301C9D" w:rsidP="00EF0242">
      <w:pPr>
        <w:jc w:val="both"/>
        <w:rPr>
          <w:rFonts w:ascii="Arial" w:hAnsi="Arial" w:cs="Arial"/>
          <w:iCs/>
          <w:sz w:val="24"/>
          <w:szCs w:val="24"/>
          <w:u w:val="single"/>
        </w:rPr>
      </w:pPr>
    </w:p>
    <w:p w14:paraId="220B5088" w14:textId="77777777" w:rsidR="00301C9D" w:rsidRPr="00301C9D" w:rsidRDefault="00301C9D" w:rsidP="00EF0242">
      <w:pPr>
        <w:jc w:val="both"/>
        <w:rPr>
          <w:rFonts w:ascii="Arial" w:hAnsi="Arial" w:cs="Arial"/>
          <w:iCs/>
          <w:sz w:val="24"/>
          <w:szCs w:val="24"/>
          <w:u w:val="single"/>
        </w:rPr>
      </w:pPr>
      <w:r w:rsidRPr="00301C9D">
        <w:rPr>
          <w:rFonts w:ascii="Arial" w:hAnsi="Arial" w:cs="Arial"/>
          <w:iCs/>
          <w:sz w:val="24"/>
          <w:szCs w:val="24"/>
          <w:u w:val="single"/>
        </w:rPr>
        <w:t>9 : Procédures de recours</w:t>
      </w:r>
    </w:p>
    <w:p w14:paraId="2644AAF2" w14:textId="77777777" w:rsidR="00301C9D" w:rsidRPr="00301C9D" w:rsidRDefault="00301C9D" w:rsidP="00EF0242">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301C9D" w:rsidRPr="00301C9D" w14:paraId="3AB88DE5" w14:textId="77777777" w:rsidTr="00EF0242">
        <w:tc>
          <w:tcPr>
            <w:tcW w:w="5240" w:type="dxa"/>
          </w:tcPr>
          <w:p w14:paraId="335EC754" w14:textId="77777777" w:rsidR="00301C9D" w:rsidRPr="00301C9D" w:rsidRDefault="00301C9D" w:rsidP="00EF0242">
            <w:pPr>
              <w:jc w:val="both"/>
              <w:rPr>
                <w:rFonts w:ascii="Arial" w:hAnsi="Arial" w:cs="Arial"/>
                <w:iCs/>
                <w:sz w:val="24"/>
                <w:szCs w:val="24"/>
                <w:u w:val="single"/>
              </w:rPr>
            </w:pPr>
            <w:r w:rsidRPr="00301C9D">
              <w:rPr>
                <w:rFonts w:ascii="Arial" w:hAnsi="Arial" w:cs="Arial"/>
                <w:iCs/>
                <w:sz w:val="24"/>
                <w:szCs w:val="24"/>
              </w:rPr>
              <w:t>Le tribunal territorialement compétent est :</w:t>
            </w:r>
          </w:p>
          <w:p w14:paraId="5611AAF2"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Tribunal Judiciaire de NANCY</w:t>
            </w:r>
          </w:p>
          <w:p w14:paraId="7ED7E00D"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Rue du Général Fabvier</w:t>
            </w:r>
          </w:p>
          <w:p w14:paraId="3ABB4045"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54035 NANCY</w:t>
            </w:r>
          </w:p>
          <w:p w14:paraId="3C9D601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03.83.90.85.00</w:t>
            </w:r>
          </w:p>
          <w:p w14:paraId="7C7D62EB" w14:textId="77777777" w:rsidR="00301C9D" w:rsidRPr="00301C9D" w:rsidRDefault="00301C9D" w:rsidP="00EF0242">
            <w:pPr>
              <w:jc w:val="both"/>
              <w:rPr>
                <w:rFonts w:ascii="Arial" w:hAnsi="Arial" w:cs="Arial"/>
                <w:iCs/>
                <w:sz w:val="24"/>
                <w:szCs w:val="24"/>
              </w:rPr>
            </w:pPr>
          </w:p>
        </w:tc>
        <w:tc>
          <w:tcPr>
            <w:tcW w:w="5245" w:type="dxa"/>
          </w:tcPr>
          <w:p w14:paraId="7148D385"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Pour obtenir des renseignements relatifs à l’introduction des recours, les candidats devront s’adresser à :</w:t>
            </w:r>
          </w:p>
          <w:p w14:paraId="11E782C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Tribunal Judiciaire de NANCY</w:t>
            </w:r>
          </w:p>
          <w:p w14:paraId="79914164"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Rue du Général Fabvier</w:t>
            </w:r>
          </w:p>
          <w:p w14:paraId="54869A81"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54035 NANCY</w:t>
            </w:r>
          </w:p>
          <w:p w14:paraId="02CB9863" w14:textId="77777777" w:rsidR="00301C9D" w:rsidRDefault="00301C9D" w:rsidP="00EF0242">
            <w:pPr>
              <w:jc w:val="both"/>
              <w:rPr>
                <w:rFonts w:ascii="Arial" w:hAnsi="Arial" w:cs="Arial"/>
                <w:iCs/>
                <w:sz w:val="24"/>
                <w:szCs w:val="24"/>
              </w:rPr>
            </w:pPr>
            <w:r w:rsidRPr="00301C9D">
              <w:rPr>
                <w:rFonts w:ascii="Arial" w:hAnsi="Arial" w:cs="Arial"/>
                <w:iCs/>
                <w:sz w:val="24"/>
                <w:szCs w:val="24"/>
              </w:rPr>
              <w:t>Tél. : 03.83.90.85.00</w:t>
            </w:r>
          </w:p>
          <w:p w14:paraId="60E7E13B" w14:textId="1A431C7B" w:rsidR="0066635B" w:rsidRPr="00301C9D" w:rsidRDefault="0066635B" w:rsidP="00EF0242">
            <w:pPr>
              <w:jc w:val="both"/>
              <w:rPr>
                <w:rFonts w:ascii="Arial" w:hAnsi="Arial" w:cs="Arial"/>
                <w:iCs/>
                <w:sz w:val="24"/>
                <w:szCs w:val="24"/>
              </w:rPr>
            </w:pPr>
          </w:p>
        </w:tc>
      </w:tr>
    </w:tbl>
    <w:p w14:paraId="7A580D3C" w14:textId="77777777" w:rsidR="00C25957" w:rsidRPr="00E447FB" w:rsidRDefault="00C25957" w:rsidP="00EF0242">
      <w:pPr>
        <w:jc w:val="both"/>
        <w:rPr>
          <w:rFonts w:ascii="Arial" w:hAnsi="Arial" w:cs="Arial"/>
          <w:sz w:val="22"/>
          <w:szCs w:val="22"/>
        </w:rPr>
      </w:pPr>
    </w:p>
    <w:sectPr w:rsidR="00C25957" w:rsidRPr="00E447FB" w:rsidSect="003344B4">
      <w:headerReference w:type="default" r:id="rId13"/>
      <w:headerReference w:type="first" r:id="rId14"/>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8B0D" w14:textId="77777777" w:rsidR="008C2C7F" w:rsidRDefault="008C2C7F">
      <w:r>
        <w:separator/>
      </w:r>
    </w:p>
  </w:endnote>
  <w:endnote w:type="continuationSeparator" w:id="0">
    <w:p w14:paraId="6913BCAB" w14:textId="77777777" w:rsidR="008C2C7F" w:rsidRDefault="008C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558C" w14:textId="77777777" w:rsidR="008C2C7F" w:rsidRDefault="008C2C7F">
      <w:r>
        <w:separator/>
      </w:r>
    </w:p>
  </w:footnote>
  <w:footnote w:type="continuationSeparator" w:id="0">
    <w:p w14:paraId="2B069EB8" w14:textId="77777777" w:rsidR="008C2C7F" w:rsidRDefault="008C2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29FE80BD" w:rsidR="00E447FB" w:rsidRPr="00E447FB" w:rsidRDefault="009F7325" w:rsidP="009F7325">
        <w:pPr>
          <w:pStyle w:val="En-tte"/>
          <w:rPr>
            <w:rFonts w:ascii="Arial" w:hAnsi="Arial" w:cs="Arial"/>
          </w:rPr>
        </w:pPr>
        <w:r>
          <w:rPr>
            <w:rFonts w:ascii="Arial" w:hAnsi="Arial" w:cs="Arial"/>
          </w:rPr>
          <w:t>R</w:t>
        </w:r>
        <w:r w:rsidR="00E447FB">
          <w:rPr>
            <w:rFonts w:ascii="Arial" w:hAnsi="Arial" w:cs="Arial"/>
          </w:rPr>
          <w:t xml:space="preserve">C - MBFC – </w:t>
        </w:r>
        <w:r w:rsidR="003607BF">
          <w:rPr>
            <w:rFonts w:ascii="Arial" w:hAnsi="Arial" w:cs="Arial"/>
          </w:rPr>
          <w:t xml:space="preserve">9 &amp; </w:t>
        </w:r>
        <w:r w:rsidR="00EF0242">
          <w:rPr>
            <w:rFonts w:ascii="Arial" w:hAnsi="Arial" w:cs="Arial"/>
          </w:rPr>
          <w:t>22 Places</w:t>
        </w:r>
        <w:r w:rsidR="00E447FB">
          <w:rPr>
            <w:rFonts w:ascii="Arial" w:hAnsi="Arial" w:cs="Arial"/>
          </w:rPr>
          <w:t xml:space="preserve"> </w:t>
        </w:r>
        <w:r>
          <w:rPr>
            <w:rFonts w:ascii="Arial" w:hAnsi="Arial" w:cs="Arial"/>
          </w:rPr>
          <w:t>–</w:t>
        </w:r>
        <w:r w:rsidR="00E447FB">
          <w:rPr>
            <w:rFonts w:ascii="Arial" w:hAnsi="Arial" w:cs="Arial"/>
          </w:rPr>
          <w:t xml:space="preserve"> 202</w:t>
        </w:r>
        <w:r>
          <w:rPr>
            <w:rFonts w:ascii="Arial" w:hAnsi="Arial" w:cs="Arial"/>
          </w:rPr>
          <w:t>7</w:t>
        </w:r>
        <w:r w:rsidR="00CE482C">
          <w:rPr>
            <w:rFonts w:ascii="Arial" w:hAnsi="Arial" w:cs="Arial"/>
          </w:rPr>
          <w:t xml:space="preserve"> – </w:t>
        </w:r>
        <w:r w:rsidR="00E447FB">
          <w:rPr>
            <w:rFonts w:ascii="Arial" w:hAnsi="Arial" w:cs="Arial"/>
          </w:rPr>
          <w:t>202</w:t>
        </w:r>
        <w:r>
          <w:rPr>
            <w:rFonts w:ascii="Arial" w:hAnsi="Arial" w:cs="Arial"/>
          </w:rPr>
          <w:t>8</w:t>
        </w:r>
        <w:r w:rsidR="00EF0242">
          <w:rPr>
            <w:rFonts w:ascii="Arial" w:hAnsi="Arial" w:cs="Arial"/>
          </w:rPr>
          <w:t xml:space="preserve">       </w:t>
        </w:r>
        <w:r w:rsidR="00E447FB">
          <w:rPr>
            <w:rFonts w:ascii="Arial" w:hAnsi="Arial" w:cs="Arial"/>
          </w:rPr>
          <w:t xml:space="preserve">                                                           </w:t>
        </w:r>
        <w:r>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33E8F"/>
    <w:rsid w:val="00043E6E"/>
    <w:rsid w:val="00047FCF"/>
    <w:rsid w:val="00051C7F"/>
    <w:rsid w:val="0005560A"/>
    <w:rsid w:val="00060093"/>
    <w:rsid w:val="00060304"/>
    <w:rsid w:val="00083747"/>
    <w:rsid w:val="00086AAE"/>
    <w:rsid w:val="000A1E92"/>
    <w:rsid w:val="000C2BB0"/>
    <w:rsid w:val="000D2856"/>
    <w:rsid w:val="000E0B0A"/>
    <w:rsid w:val="000E75D5"/>
    <w:rsid w:val="000F1EE1"/>
    <w:rsid w:val="000F61F5"/>
    <w:rsid w:val="00145215"/>
    <w:rsid w:val="00174E19"/>
    <w:rsid w:val="00183626"/>
    <w:rsid w:val="0019478F"/>
    <w:rsid w:val="001D7A64"/>
    <w:rsid w:val="001F4ACA"/>
    <w:rsid w:val="00203498"/>
    <w:rsid w:val="00206F81"/>
    <w:rsid w:val="00212865"/>
    <w:rsid w:val="00232483"/>
    <w:rsid w:val="002424B8"/>
    <w:rsid w:val="0024413F"/>
    <w:rsid w:val="002853A7"/>
    <w:rsid w:val="00292282"/>
    <w:rsid w:val="00292CD8"/>
    <w:rsid w:val="002A46BC"/>
    <w:rsid w:val="002C541F"/>
    <w:rsid w:val="002D4212"/>
    <w:rsid w:val="002E1B5E"/>
    <w:rsid w:val="002E32FE"/>
    <w:rsid w:val="003010E8"/>
    <w:rsid w:val="00301C9D"/>
    <w:rsid w:val="0030712D"/>
    <w:rsid w:val="00313592"/>
    <w:rsid w:val="003205C9"/>
    <w:rsid w:val="003344B4"/>
    <w:rsid w:val="003607BF"/>
    <w:rsid w:val="003646CF"/>
    <w:rsid w:val="003661AF"/>
    <w:rsid w:val="00377521"/>
    <w:rsid w:val="00380FD0"/>
    <w:rsid w:val="00385064"/>
    <w:rsid w:val="00385738"/>
    <w:rsid w:val="00385DFC"/>
    <w:rsid w:val="00387213"/>
    <w:rsid w:val="00393929"/>
    <w:rsid w:val="0039619F"/>
    <w:rsid w:val="003A5F30"/>
    <w:rsid w:val="003B4FDA"/>
    <w:rsid w:val="003D7501"/>
    <w:rsid w:val="003E2E20"/>
    <w:rsid w:val="004045B8"/>
    <w:rsid w:val="004129C2"/>
    <w:rsid w:val="00412E42"/>
    <w:rsid w:val="0043161C"/>
    <w:rsid w:val="00431CA5"/>
    <w:rsid w:val="00446218"/>
    <w:rsid w:val="004463CC"/>
    <w:rsid w:val="00447C67"/>
    <w:rsid w:val="00452418"/>
    <w:rsid w:val="00462FCC"/>
    <w:rsid w:val="00477166"/>
    <w:rsid w:val="00480E89"/>
    <w:rsid w:val="004916B5"/>
    <w:rsid w:val="004A04F9"/>
    <w:rsid w:val="004B0BBB"/>
    <w:rsid w:val="004B2648"/>
    <w:rsid w:val="004C3919"/>
    <w:rsid w:val="004E23AD"/>
    <w:rsid w:val="004E7C3D"/>
    <w:rsid w:val="0050346B"/>
    <w:rsid w:val="005043CD"/>
    <w:rsid w:val="00513D66"/>
    <w:rsid w:val="00520515"/>
    <w:rsid w:val="00521370"/>
    <w:rsid w:val="00535361"/>
    <w:rsid w:val="00542F57"/>
    <w:rsid w:val="00552E02"/>
    <w:rsid w:val="00573F29"/>
    <w:rsid w:val="005763E0"/>
    <w:rsid w:val="00577D3E"/>
    <w:rsid w:val="00580DFB"/>
    <w:rsid w:val="005A31E6"/>
    <w:rsid w:val="005A6719"/>
    <w:rsid w:val="005C22DC"/>
    <w:rsid w:val="005C4A55"/>
    <w:rsid w:val="005D2D7F"/>
    <w:rsid w:val="005D77F7"/>
    <w:rsid w:val="005E5297"/>
    <w:rsid w:val="005F037B"/>
    <w:rsid w:val="005F2E1E"/>
    <w:rsid w:val="00606146"/>
    <w:rsid w:val="00607733"/>
    <w:rsid w:val="00620E8A"/>
    <w:rsid w:val="00640073"/>
    <w:rsid w:val="00645AF4"/>
    <w:rsid w:val="00654988"/>
    <w:rsid w:val="00657055"/>
    <w:rsid w:val="0066635B"/>
    <w:rsid w:val="0066648D"/>
    <w:rsid w:val="0067373D"/>
    <w:rsid w:val="00684B4F"/>
    <w:rsid w:val="00686DC3"/>
    <w:rsid w:val="00691E93"/>
    <w:rsid w:val="00696B3A"/>
    <w:rsid w:val="006A4B66"/>
    <w:rsid w:val="006C4930"/>
    <w:rsid w:val="006D3EC0"/>
    <w:rsid w:val="00704D3D"/>
    <w:rsid w:val="00705BC2"/>
    <w:rsid w:val="00706DE5"/>
    <w:rsid w:val="00710494"/>
    <w:rsid w:val="00732EAB"/>
    <w:rsid w:val="00735E65"/>
    <w:rsid w:val="00756216"/>
    <w:rsid w:val="00756955"/>
    <w:rsid w:val="00763986"/>
    <w:rsid w:val="007715B3"/>
    <w:rsid w:val="00785139"/>
    <w:rsid w:val="00786DE7"/>
    <w:rsid w:val="007A7464"/>
    <w:rsid w:val="007D4FBC"/>
    <w:rsid w:val="007D7DAE"/>
    <w:rsid w:val="007F4F21"/>
    <w:rsid w:val="00800126"/>
    <w:rsid w:val="00816963"/>
    <w:rsid w:val="008212BC"/>
    <w:rsid w:val="00822A91"/>
    <w:rsid w:val="00826D35"/>
    <w:rsid w:val="00830710"/>
    <w:rsid w:val="00845345"/>
    <w:rsid w:val="00854A5E"/>
    <w:rsid w:val="00855D2C"/>
    <w:rsid w:val="008600E0"/>
    <w:rsid w:val="00861481"/>
    <w:rsid w:val="008755E2"/>
    <w:rsid w:val="00876D63"/>
    <w:rsid w:val="00883AB3"/>
    <w:rsid w:val="00897094"/>
    <w:rsid w:val="008A1AE7"/>
    <w:rsid w:val="008A66C7"/>
    <w:rsid w:val="008B46FA"/>
    <w:rsid w:val="008B6A33"/>
    <w:rsid w:val="008C010C"/>
    <w:rsid w:val="008C14A8"/>
    <w:rsid w:val="008C2C7F"/>
    <w:rsid w:val="008D3901"/>
    <w:rsid w:val="008F22A2"/>
    <w:rsid w:val="00903B99"/>
    <w:rsid w:val="00920B61"/>
    <w:rsid w:val="00931D00"/>
    <w:rsid w:val="00936897"/>
    <w:rsid w:val="0093753F"/>
    <w:rsid w:val="00951AD0"/>
    <w:rsid w:val="009706FA"/>
    <w:rsid w:val="0097152E"/>
    <w:rsid w:val="009743DF"/>
    <w:rsid w:val="00990F70"/>
    <w:rsid w:val="00995134"/>
    <w:rsid w:val="009A5678"/>
    <w:rsid w:val="009D319A"/>
    <w:rsid w:val="009E0E37"/>
    <w:rsid w:val="009E2A2B"/>
    <w:rsid w:val="009E70B1"/>
    <w:rsid w:val="009E755D"/>
    <w:rsid w:val="009E786E"/>
    <w:rsid w:val="009F0BF0"/>
    <w:rsid w:val="009F730E"/>
    <w:rsid w:val="009F7325"/>
    <w:rsid w:val="00A2455D"/>
    <w:rsid w:val="00A34756"/>
    <w:rsid w:val="00A40DEF"/>
    <w:rsid w:val="00A6394C"/>
    <w:rsid w:val="00A65107"/>
    <w:rsid w:val="00A739D0"/>
    <w:rsid w:val="00A87513"/>
    <w:rsid w:val="00A953A8"/>
    <w:rsid w:val="00AC0288"/>
    <w:rsid w:val="00AC5DF4"/>
    <w:rsid w:val="00AD2E0F"/>
    <w:rsid w:val="00AD3E18"/>
    <w:rsid w:val="00AE24E5"/>
    <w:rsid w:val="00AE3FCD"/>
    <w:rsid w:val="00AE5924"/>
    <w:rsid w:val="00AF66B8"/>
    <w:rsid w:val="00B13C29"/>
    <w:rsid w:val="00B1413B"/>
    <w:rsid w:val="00B15CAD"/>
    <w:rsid w:val="00B220B9"/>
    <w:rsid w:val="00B30D34"/>
    <w:rsid w:val="00B434C1"/>
    <w:rsid w:val="00B60EB4"/>
    <w:rsid w:val="00B64010"/>
    <w:rsid w:val="00B6526A"/>
    <w:rsid w:val="00B743F2"/>
    <w:rsid w:val="00B803B7"/>
    <w:rsid w:val="00B81CFE"/>
    <w:rsid w:val="00B971C8"/>
    <w:rsid w:val="00BA4620"/>
    <w:rsid w:val="00BA5979"/>
    <w:rsid w:val="00BC2576"/>
    <w:rsid w:val="00BD4FBA"/>
    <w:rsid w:val="00BD6479"/>
    <w:rsid w:val="00BD7216"/>
    <w:rsid w:val="00BE7E70"/>
    <w:rsid w:val="00C119F4"/>
    <w:rsid w:val="00C13A03"/>
    <w:rsid w:val="00C14BA4"/>
    <w:rsid w:val="00C165CF"/>
    <w:rsid w:val="00C17918"/>
    <w:rsid w:val="00C20BE7"/>
    <w:rsid w:val="00C25957"/>
    <w:rsid w:val="00C41AF9"/>
    <w:rsid w:val="00C42C19"/>
    <w:rsid w:val="00C442E8"/>
    <w:rsid w:val="00C47F52"/>
    <w:rsid w:val="00C567B9"/>
    <w:rsid w:val="00C6236D"/>
    <w:rsid w:val="00C75E66"/>
    <w:rsid w:val="00C81E09"/>
    <w:rsid w:val="00C866C4"/>
    <w:rsid w:val="00C870B2"/>
    <w:rsid w:val="00C95700"/>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7866"/>
    <w:rsid w:val="00DB3AF0"/>
    <w:rsid w:val="00DC445C"/>
    <w:rsid w:val="00DD0FD7"/>
    <w:rsid w:val="00DF3943"/>
    <w:rsid w:val="00E2049D"/>
    <w:rsid w:val="00E2242B"/>
    <w:rsid w:val="00E342F3"/>
    <w:rsid w:val="00E3622A"/>
    <w:rsid w:val="00E447FB"/>
    <w:rsid w:val="00E466E6"/>
    <w:rsid w:val="00E52450"/>
    <w:rsid w:val="00E56B0A"/>
    <w:rsid w:val="00E579DE"/>
    <w:rsid w:val="00E92E25"/>
    <w:rsid w:val="00EA596D"/>
    <w:rsid w:val="00EC01A7"/>
    <w:rsid w:val="00EC4B3A"/>
    <w:rsid w:val="00EC7A3E"/>
    <w:rsid w:val="00EF0242"/>
    <w:rsid w:val="00F2645D"/>
    <w:rsid w:val="00F425D6"/>
    <w:rsid w:val="00F470FA"/>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baut.gathellier@mobilitesbfc.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baut.gathellier@mobilitesbfc.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erences.modernisation.gouv.fr" TargetMode="External"/><Relationship Id="rId4" Type="http://schemas.openxmlformats.org/officeDocument/2006/relationships/settings" Target="settings.xml"/><Relationship Id="rId9" Type="http://schemas.openxmlformats.org/officeDocument/2006/relationships/hyperlink" Target="http://mobilitesbfc.fr/marches-public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38</TotalTime>
  <Pages>1</Pages>
  <Words>2286</Words>
  <Characters>12574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14831</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18</cp:revision>
  <cp:lastPrinted>2022-04-14T05:01:00Z</cp:lastPrinted>
  <dcterms:created xsi:type="dcterms:W3CDTF">2026-02-05T13:48:00Z</dcterms:created>
  <dcterms:modified xsi:type="dcterms:W3CDTF">2026-03-03T08:42:00Z</dcterms:modified>
</cp:coreProperties>
</file>